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-199" w:hanging="0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ind w:left="0" w:right="-199" w:hanging="0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ind w:left="2160" w:right="-199" w:hanging="2160"/>
        <w:jc w:val="center"/>
        <w:rPr>
          <w:b/>
          <w:b/>
        </w:rPr>
      </w:pPr>
      <w:r>
        <w:rPr>
          <w:b/>
        </w:rPr>
        <w:t>Reporting to: Headteacher, Deputy Head</w:t>
      </w:r>
    </w:p>
    <w:p>
      <w:pPr>
        <w:pStyle w:val="Normal"/>
        <w:ind w:left="2160" w:right="-199" w:hanging="2160"/>
        <w:jc w:val="center"/>
        <w:rPr>
          <w:b/>
          <w:b/>
        </w:rPr>
      </w:pPr>
      <w:r>
        <w:rPr>
          <w:b/>
        </w:rPr>
      </w:r>
    </w:p>
    <w:p>
      <w:pPr>
        <w:pStyle w:val="Normal"/>
        <w:ind w:left="2160" w:right="-199" w:hanging="2160"/>
        <w:jc w:val="center"/>
        <w:rPr>
          <w:b/>
          <w:b/>
        </w:rPr>
      </w:pPr>
      <w:r>
        <w:rPr>
          <w:b/>
        </w:rPr>
        <w:t>Hours of work: Monday to Friday, 11.30am – 1.30pm</w:t>
      </w:r>
    </w:p>
    <w:p>
      <w:pPr>
        <w:pStyle w:val="Normal"/>
        <w:ind w:left="2160" w:right="-199" w:hanging="2160"/>
        <w:jc w:val="center"/>
        <w:rPr>
          <w:b/>
          <w:b/>
        </w:rPr>
      </w:pPr>
      <w:r>
        <w:rPr>
          <w:b/>
        </w:rPr>
      </w:r>
    </w:p>
    <w:p>
      <w:pPr>
        <w:pStyle w:val="Normal"/>
        <w:ind w:left="2160" w:right="-199" w:hanging="2160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 w:before="0" w:after="200"/>
        <w:rPr>
          <w:rFonts w:ascii="Calibri" w:hAnsi="Calibri" w:eastAsia="Calibri" w:cs="Calibri"/>
          <w:lang w:eastAsia="en-US"/>
        </w:rPr>
      </w:pPr>
      <w:r>
        <w:rPr>
          <w:rFonts w:eastAsia="Calibri" w:cs="Calibri" w:ascii="Calibri" w:hAnsi="Calibri"/>
          <w:lang w:eastAsia="en-US"/>
        </w:rPr>
        <w:t>Brentwood School and Community College specialise in the education of students with severe, profound and multiple learning difficulties, complex needs and autism. Brentwood benefits from state-of-the-art facilities which include a 11-19 school and post 19 college.</w:t>
      </w:r>
    </w:p>
    <w:tbl>
      <w:tblPr>
        <w:tblW w:w="925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5"/>
      </w:tblGrid>
      <w:tr>
        <w:trPr/>
        <w:tc>
          <w:tcPr>
            <w:tcW w:w="9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/>
                <w:b/>
                <w:b/>
                <w:szCs w:val="20"/>
                <w:lang w:eastAsia="en-US"/>
              </w:rPr>
            </w:pPr>
            <w:r>
              <w:rPr>
                <w:rFonts w:cs="Calibri" w:ascii="Calibri" w:hAnsi="Calibri"/>
                <w:b/>
                <w:szCs w:val="20"/>
                <w:lang w:eastAsia="en-US"/>
              </w:rPr>
              <w:t>SUPPORT FOR PUPILS</w:t>
            </w:r>
          </w:p>
        </w:tc>
      </w:tr>
      <w:tr>
        <w:trPr/>
        <w:tc>
          <w:tcPr>
            <w:tcW w:w="9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2"/>
              </w:numPr>
              <w:ind w:left="720" w:right="-199" w:hanging="3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To supervise students in the dining areas and elsewhere as directed.</w:t>
            </w:r>
          </w:p>
          <w:p>
            <w:pPr>
              <w:pStyle w:val="Normal"/>
              <w:numPr>
                <w:ilvl w:val="0"/>
                <w:numId w:val="2"/>
              </w:numPr>
              <w:ind w:left="720" w:right="-199" w:hanging="3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To meet the needs of students by enabling their independence with regards to eating and drinking, toileting, hand washing, teeth cleaning (if required) and play. </w:t>
            </w:r>
          </w:p>
          <w:p>
            <w:pPr>
              <w:pStyle w:val="Normal"/>
              <w:numPr>
                <w:ilvl w:val="0"/>
                <w:numId w:val="2"/>
              </w:numPr>
              <w:ind w:left="720" w:right="-199" w:hanging="3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To support students with their personal care needs.</w:t>
            </w:r>
          </w:p>
          <w:p>
            <w:pPr>
              <w:pStyle w:val="Normal"/>
              <w:numPr>
                <w:ilvl w:val="0"/>
                <w:numId w:val="2"/>
              </w:numPr>
              <w:ind w:left="720" w:right="-199" w:hanging="3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To communicate effectively with students and staff.</w:t>
            </w:r>
          </w:p>
          <w:p>
            <w:pPr>
              <w:pStyle w:val="Normal"/>
              <w:numPr>
                <w:ilvl w:val="0"/>
                <w:numId w:val="2"/>
              </w:numPr>
              <w:ind w:left="720" w:right="-199" w:hanging="360"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To supervise students outside or in the classroom, and elsewhere as directed, during the lunchtime period.</w:t>
            </w:r>
          </w:p>
          <w:p>
            <w:pPr>
              <w:pStyle w:val="Normal"/>
              <w:numPr>
                <w:ilvl w:val="0"/>
                <w:numId w:val="2"/>
              </w:numPr>
              <w:ind w:left="720" w:right="-199" w:hanging="3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To take students with minor accidents, or who are unwell, to the named first aider or school nurse. </w:t>
            </w:r>
          </w:p>
        </w:tc>
      </w:tr>
      <w:tr>
        <w:trPr/>
        <w:tc>
          <w:tcPr>
            <w:tcW w:w="9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/>
                <w:b/>
                <w:b/>
                <w:lang w:eastAsia="en-US"/>
              </w:rPr>
            </w:pPr>
            <w:r>
              <w:rPr>
                <w:rFonts w:cs="Calibri" w:ascii="Calibri" w:hAnsi="Calibri"/>
                <w:b/>
                <w:lang w:eastAsia="en-US"/>
              </w:rPr>
              <w:t>SUPPORT FOR THE TEACHER</w:t>
            </w:r>
          </w:p>
        </w:tc>
      </w:tr>
      <w:tr>
        <w:trPr/>
        <w:tc>
          <w:tcPr>
            <w:tcW w:w="9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2"/>
              </w:numPr>
              <w:ind w:left="720" w:right="-199" w:hanging="3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To assist in hoisting and positioning pupils in the classrooms and other areas of the school whether inside or outside (once appropriate training has been completed).</w:t>
            </w:r>
          </w:p>
        </w:tc>
      </w:tr>
      <w:tr>
        <w:trPr/>
        <w:tc>
          <w:tcPr>
            <w:tcW w:w="9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/>
                <w:b/>
                <w:b/>
                <w:lang w:eastAsia="en-US"/>
              </w:rPr>
            </w:pPr>
            <w:r>
              <w:rPr>
                <w:rFonts w:cs="Calibri" w:ascii="Calibri" w:hAnsi="Calibri"/>
                <w:b/>
                <w:lang w:eastAsia="en-US"/>
              </w:rPr>
              <w:t>SUPPORT FOR THE CURRICULUM</w:t>
            </w:r>
          </w:p>
        </w:tc>
      </w:tr>
      <w:tr>
        <w:trPr/>
        <w:tc>
          <w:tcPr>
            <w:tcW w:w="9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/>
                <w:lang w:eastAsia="en-US"/>
              </w:rPr>
            </w:pPr>
            <w:r>
              <w:rPr>
                <w:rFonts w:cs="Calibri" w:ascii="Calibri" w:hAnsi="Calibri"/>
                <w:lang w:eastAsia="en-US"/>
              </w:rPr>
              <w:t>Implement agreed learning activities/teaching programmes, adjusting activities according to student responses/needs;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/>
                <w:lang w:eastAsia="en-US"/>
              </w:rPr>
            </w:pPr>
            <w:r>
              <w:rPr>
                <w:rFonts w:cs="Calibri" w:ascii="Calibri" w:hAnsi="Calibri"/>
                <w:lang w:eastAsia="en-US"/>
              </w:rPr>
              <w:t>Implement local and national learning strategies e.g. literacy, numeracy, KS3, early years and make effective use of opportunities provided by other learning activities to support the development of relevant skills;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/>
                <w:lang w:eastAsia="en-US"/>
              </w:rPr>
            </w:pPr>
            <w:r>
              <w:rPr>
                <w:rFonts w:cs="Calibri" w:ascii="Calibri" w:hAnsi="Calibri"/>
                <w:lang w:eastAsia="en-US"/>
              </w:rPr>
              <w:t>Support the use of ICT in learning activities and develop students’ competence and independence in its use;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/>
                <w:lang w:eastAsia="en-US"/>
              </w:rPr>
            </w:pPr>
            <w:r>
              <w:rPr>
                <w:rFonts w:cs="Calibri" w:ascii="Calibri" w:hAnsi="Calibri"/>
                <w:lang w:eastAsia="en-US"/>
              </w:rPr>
              <w:t>Help students to access learning activities through specialist support;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/>
                <w:lang w:eastAsia="en-US"/>
              </w:rPr>
            </w:pPr>
            <w:r>
              <w:rPr>
                <w:rFonts w:cs="Calibri" w:ascii="Calibri" w:hAnsi="Calibri"/>
                <w:lang w:eastAsia="en-US"/>
              </w:rPr>
              <w:t>Determine the need for, prepare and maintain general and specialist equipment and resources.</w:t>
            </w:r>
          </w:p>
        </w:tc>
      </w:tr>
      <w:tr>
        <w:trPr/>
        <w:tc>
          <w:tcPr>
            <w:tcW w:w="9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cs="Calibri"/>
                <w:b/>
                <w:b/>
                <w:lang w:eastAsia="en-US"/>
              </w:rPr>
            </w:pPr>
            <w:r>
              <w:rPr>
                <w:rFonts w:cs="Calibri" w:ascii="Calibri" w:hAnsi="Calibri"/>
                <w:b/>
                <w:lang w:eastAsia="en-US"/>
              </w:rPr>
              <w:t>SUPPORT FOR THE SCHOOL</w:t>
            </w:r>
          </w:p>
        </w:tc>
      </w:tr>
      <w:tr>
        <w:trPr/>
        <w:tc>
          <w:tcPr>
            <w:tcW w:w="9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/>
                <w:lang w:eastAsia="en-US"/>
              </w:rPr>
            </w:pPr>
            <w:r>
              <w:rPr>
                <w:rFonts w:cs="Calibri" w:ascii="Calibri" w:hAnsi="Calibri"/>
                <w:lang w:eastAsia="en-US"/>
              </w:rPr>
              <w:t>To be committed to safeguarding and promoting the health, safety and welfare of students at all times.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/>
                <w:lang w:eastAsia="en-US"/>
              </w:rPr>
            </w:pPr>
            <w:r>
              <w:rPr>
                <w:rFonts w:cs="Calibri" w:ascii="Calibri" w:hAnsi="Calibri"/>
                <w:lang w:eastAsia="en-US"/>
              </w:rPr>
              <w:t>To participate in relevant training and meetings.</w:t>
            </w:r>
          </w:p>
          <w:p>
            <w:pPr>
              <w:pStyle w:val="Normal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rFonts w:cs="Calibri" w:ascii="Calibri" w:hAnsi="Calibri"/>
                <w:lang w:eastAsia="en-US"/>
              </w:rPr>
              <w:t>To be aware of and comply with policies and procedures relating to safeguarding, health, safety and security, confidentiality and data protection, reporting all concerns to an appropriate person.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/>
                <w:lang w:eastAsia="en-US"/>
              </w:rPr>
            </w:pPr>
            <w:r>
              <w:rPr>
                <w:rFonts w:cs="Calibri" w:ascii="Calibri" w:hAnsi="Calibri"/>
                <w:lang w:eastAsia="en-US"/>
              </w:rPr>
              <w:t>To work under the direction of the Head Teacher or Deputy Head in completing any tasks required in relation to the above post.</w:t>
            </w:r>
          </w:p>
        </w:tc>
      </w:tr>
    </w:tbl>
    <w:p>
      <w:pPr>
        <w:pStyle w:val="Normal"/>
        <w:ind w:left="0" w:right="-199" w:hanging="0"/>
        <w:rPr/>
      </w:pPr>
      <w:r>
        <w:rPr/>
      </w:r>
    </w:p>
    <w:sectPr>
      <w:headerReference w:type="default" r:id="rId2"/>
      <w:type w:val="nextPage"/>
      <w:pgSz w:w="11906" w:h="16838"/>
      <w:pgMar w:left="993" w:right="1558" w:header="72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/>
    </w:pPr>
    <w: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5191125</wp:posOffset>
          </wp:positionH>
          <wp:positionV relativeFrom="paragraph">
            <wp:posOffset>-382270</wp:posOffset>
          </wp:positionV>
          <wp:extent cx="1628140" cy="75374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9470" t="-23" r="29537" b="5718"/>
                  <a:stretch>
                    <a:fillRect/>
                  </a:stretch>
                </pic:blipFill>
                <pic:spPr bwMode="auto">
                  <a:xfrm>
                    <a:off x="0" y="0"/>
                    <a:ext cx="1628140" cy="753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-581025</wp:posOffset>
          </wp:positionH>
          <wp:positionV relativeFrom="paragraph">
            <wp:posOffset>-455295</wp:posOffset>
          </wp:positionV>
          <wp:extent cx="1647190" cy="847725"/>
          <wp:effectExtent l="0" t="0" r="0" b="0"/>
          <wp:wrapNone/>
          <wp:docPr id="2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30637" t="-23" r="30203" b="-23"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/>
        <w:b/>
        <w:sz w:val="28"/>
        <w:szCs w:val="28"/>
      </w:rPr>
      <w:t xml:space="preserve"> </w:t>
    </w:r>
    <w:r>
      <w:rPr>
        <w:rFonts w:eastAsia="Arial" w:cs="Arial"/>
        <w:b/>
        <w:sz w:val="28"/>
        <w:szCs w:val="28"/>
      </w:rPr>
      <w:t xml:space="preserve">     </w:t>
    </w:r>
    <w:r>
      <w:rPr>
        <w:b/>
        <w:sz w:val="28"/>
        <w:szCs w:val="28"/>
      </w:rPr>
      <w:t xml:space="preserve">Brentwood School and Community College </w:t>
    </w:r>
  </w:p>
  <w:p>
    <w:pPr>
      <w:pStyle w:val="Header"/>
      <w:jc w:val="center"/>
      <w:rPr>
        <w:b/>
        <w:b/>
        <w:sz w:val="28"/>
        <w:szCs w:val="28"/>
      </w:rPr>
    </w:pPr>
    <w:r>
      <w:rPr>
        <w:b/>
        <w:sz w:val="28"/>
        <w:szCs w:val="28"/>
      </w:rPr>
      <w:t>Job Description</w:t>
    </w:r>
  </w:p>
  <w:p>
    <w:pPr>
      <w:pStyle w:val="Header"/>
      <w:jc w:val="center"/>
      <w:rPr>
        <w:b/>
        <w:b/>
        <w:sz w:val="28"/>
        <w:szCs w:val="28"/>
      </w:rPr>
    </w:pPr>
    <w:r>
      <w:rPr>
        <w:b/>
        <w:sz w:val="28"/>
        <w:szCs w:val="28"/>
      </w:rPr>
      <w:t>Midday Assistant SEN</w:t>
    </w:r>
  </w:p>
  <w:p>
    <w:pPr>
      <w:pStyle w:val="Header"/>
      <w:jc w:val="center"/>
      <w:rPr>
        <w:b/>
        <w:b/>
        <w:sz w:val="28"/>
        <w:szCs w:val="28"/>
      </w:rPr>
    </w:pPr>
    <w:r>
      <w:rPr>
        <w:b/>
        <w:sz w:val="28"/>
        <w:szCs w:val="28"/>
      </w:rPr>
      <w:t>Band 2</w:t>
    </w:r>
  </w:p>
  <w:p>
    <w:pPr>
      <w:pStyle w:val="Header"/>
      <w:jc w:val="center"/>
      <w:rPr>
        <w:b/>
        <w:b/>
        <w:sz w:val="28"/>
        <w:szCs w:val="28"/>
      </w:rPr>
    </w:pPr>
    <w:r>
      <w:rPr>
        <w:b/>
        <w:sz w:val="28"/>
        <w:szCs w:val="28"/>
      </w:rPr>
      <w:t>10 hours per week term time only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en-GB" w:eastAsia="en-GB" w:bidi="ar-SA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efaultParagraphFont">
    <w:name w:val="Default Paragraph Font"/>
    <w:qFormat/>
    <w:rPr/>
  </w:style>
  <w:style w:type="character" w:styleId="HeaderChar">
    <w:name w:val="Header Char"/>
    <w:qFormat/>
    <w:rPr>
      <w:rFonts w:ascii="Arial" w:hAnsi="Arial" w:cs="Arial"/>
      <w:sz w:val="24"/>
      <w:szCs w:val="24"/>
    </w:rPr>
  </w:style>
  <w:style w:type="character" w:styleId="FooterChar">
    <w:name w:val="Footer Char"/>
    <w:qFormat/>
    <w:rPr>
      <w:rFonts w:ascii="Arial" w:hAnsi="Arial" w:cs="Arial"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 w:right="0" w:hanging="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en-GB" w:eastAsia="en-GB" w:bidi="ar-SA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4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