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240" w:after="0"/>
        <w:ind w:left="-426" w:right="-784" w:hanging="0"/>
        <w:rPr>
          <w:rFonts w:cs="Calibri"/>
          <w:sz w:val="24"/>
          <w:szCs w:val="24"/>
        </w:rPr>
      </w:pPr>
      <w:r>
        <w:rPr>
          <w:rFonts w:cs="Calibri"/>
          <w:sz w:val="24"/>
          <w:szCs w:val="24"/>
        </w:rPr>
        <w:t>S</w:t>
        <mc:AlternateContent>
          <mc:Choice Requires="wps">
            <w:drawing>
              <wp:anchor behindDoc="0" distT="0" distB="0" distL="114935" distR="114935" simplePos="0" locked="0" layoutInCell="1" allowOverlap="1" relativeHeight="2">
                <wp:simplePos x="0" y="0"/>
                <wp:positionH relativeFrom="column">
                  <wp:posOffset>-355600</wp:posOffset>
                </wp:positionH>
                <wp:positionV relativeFrom="paragraph">
                  <wp:posOffset>5080</wp:posOffset>
                </wp:positionV>
                <wp:extent cx="8039735" cy="314325"/>
                <wp:effectExtent l="0" t="0" r="0" b="0"/>
                <wp:wrapTopAndBottom/>
                <wp:docPr id="1" name=""/>
                <a:graphic xmlns:a="http://schemas.openxmlformats.org/drawingml/2006/main">
                  <a:graphicData uri="http://schemas.microsoft.com/office/word/2010/wordprocessingShape">
                    <wps:wsp>
                      <wps:cNvSpPr txBox="1"/>
                      <wps:spPr>
                        <a:xfrm>
                          <a:off x="0" y="0"/>
                          <a:ext cx="8039160" cy="313560"/>
                        </a:xfrm>
                        <a:prstGeom prst="rect">
                          <a:avLst/>
                        </a:prstGeom>
                        <a:solidFill>
                          <a:srgbClr val="b72621"/>
                        </a:solidFill>
                        <a:ln w="25560">
                          <a:solidFill>
                            <a:srgbClr val="b72621"/>
                          </a:solidFill>
                          <a:round/>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b72621" stroked="t" style="position:absolute;margin-left:-28pt;margin-top:0.4pt;width:632.95pt;height:24.6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48d9de"/>
                <v:stroke color="#b72621" weight="25560" joinstyle="round" endcap="flat"/>
              </v:shape>
            </w:pict>
          </mc:Fallback>
        </mc:AlternateContent>
        <w:drawing>
          <wp:anchor behindDoc="0" distT="0" distB="0" distL="0" distR="0" simplePos="0" locked="0" layoutInCell="1" allowOverlap="1" relativeHeight="9">
            <wp:simplePos x="0" y="0"/>
            <wp:positionH relativeFrom="column">
              <wp:posOffset>7833360</wp:posOffset>
            </wp:positionH>
            <wp:positionV relativeFrom="paragraph">
              <wp:posOffset>-264160</wp:posOffset>
            </wp:positionV>
            <wp:extent cx="1495425" cy="149542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24" t="-24" r="-24" b="-24"/>
                    <a:stretch>
                      <a:fillRect/>
                    </a:stretch>
                  </pic:blipFill>
                  <pic:spPr bwMode="auto">
                    <a:xfrm>
                      <a:off x="0" y="0"/>
                      <a:ext cx="1495425" cy="1495425"/>
                    </a:xfrm>
                    <a:prstGeom prst="rect">
                      <a:avLst/>
                    </a:prstGeom>
                  </pic:spPr>
                </pic:pic>
              </a:graphicData>
            </a:graphic>
          </wp:anchor>
        </w:drawing>
      </w:r>
      <w:r>
        <w:rPr>
          <w:rFonts w:cs="Calibri"/>
          <w:sz w:val="24"/>
          <w:szCs w:val="24"/>
        </w:rPr>
        <w:t>ervice:</w:t>
        <w:tab/>
        <w:tab/>
        <w:t>Youth Engagement Service – Children’s Services Directorate</w:t>
        <w:tab/>
        <w:tab/>
      </w:r>
      <w:r>
        <mc:AlternateContent>
          <mc:Choice Requires="wps">
            <w:drawing>
              <wp:anchor behindDoc="0" distT="72390" distB="72390" distL="114300" distR="133350" simplePos="0" locked="0" layoutInCell="1" allowOverlap="1" relativeHeight="12">
                <wp:simplePos x="0" y="0"/>
                <wp:positionH relativeFrom="column">
                  <wp:posOffset>-355600</wp:posOffset>
                </wp:positionH>
                <wp:positionV relativeFrom="paragraph">
                  <wp:posOffset>5080</wp:posOffset>
                </wp:positionV>
                <wp:extent cx="8039100" cy="313690"/>
                <wp:effectExtent l="0" t="0" r="0" b="0"/>
                <wp:wrapNone/>
                <wp:docPr id="3" name="Frame1"/>
                <a:graphic xmlns:a="http://schemas.openxmlformats.org/drawingml/2006/main">
                  <a:graphicData uri="http://schemas.microsoft.com/office/word/2010/wordprocessingShape">
                    <wps:wsp>
                      <wps:cNvSpPr txBox="1"/>
                      <wps:spPr>
                        <a:xfrm>
                          <a:off x="0" y="0"/>
                          <a:ext cx="8039100" cy="313690"/>
                        </a:xfrm>
                        <a:prstGeom prst="rect"/>
                        <a:solidFill>
                          <a:srgbClr val="FFFFFF"/>
                        </a:solidFill>
                      </wps:spPr>
                      <wps:txbx>
                        <w:txbxContent>
                          <w:p>
                            <w:pPr>
                              <w:pStyle w:val="FrameContents"/>
                              <w:rPr>
                                <w:rFonts w:cs="Calibri"/>
                                <w:b/>
                                <w:b/>
                                <w:color w:val="FFFFFF"/>
                                <w:sz w:val="28"/>
                              </w:rPr>
                            </w:pPr>
                            <w:r>
                              <w:rPr>
                                <w:rFonts w:cs="Calibri"/>
                                <w:b/>
                                <w:color w:val="FFFFFF"/>
                                <w:sz w:val="28"/>
                              </w:rPr>
                              <w:t>Young People’s Worker (Bank staff)</w:t>
                              <w:tab/>
                              <w:tab/>
                              <w:tab/>
                              <w:tab/>
                              <w:tab/>
                              <w:tab/>
                              <w:tab/>
                              <w:tab/>
                              <w:tab/>
                              <w:t>Role Profile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633pt;height:24.7pt;mso-wrap-distance-left:9pt;mso-wrap-distance-right:10.5pt;mso-wrap-distance-top:5.7pt;mso-wrap-distance-bottom:5.7pt;margin-top:0.4pt;mso-position-vertical-relative:text;margin-left:-28pt;mso-position-horizontal-relative:text">
                <v:textbox inset="0.100694444444444in,0.0506944444444444in,0.100694444444444in,0.0506944444444444in">
                  <w:txbxContent>
                    <w:p>
                      <w:pPr>
                        <w:pStyle w:val="FrameContents"/>
                        <w:rPr>
                          <w:rFonts w:cs="Calibri"/>
                          <w:b/>
                          <w:b/>
                          <w:color w:val="FFFFFF"/>
                          <w:sz w:val="28"/>
                        </w:rPr>
                      </w:pPr>
                      <w:r>
                        <w:rPr>
                          <w:rFonts w:cs="Calibri"/>
                          <w:b/>
                          <w:color w:val="FFFFFF"/>
                          <w:sz w:val="28"/>
                        </w:rPr>
                        <w:t>Young People’s Worker (Bank staff)</w:t>
                        <w:tab/>
                        <w:tab/>
                        <w:tab/>
                        <w:tab/>
                        <w:tab/>
                        <w:tab/>
                        <w:tab/>
                        <w:tab/>
                        <w:tab/>
                        <w:t>Role Profile</w:t>
                      </w:r>
                    </w:p>
                    <w:p>
                      <w:pPr>
                        <w:pStyle w:val="FrameContents"/>
                        <w:spacing w:before="0" w:after="200"/>
                        <w:jc w:val="center"/>
                        <w:rPr>
                          <w:color w:val="FFFFFF"/>
                        </w:rPr>
                      </w:pPr>
                      <w:r>
                        <w:rPr>
                          <w:color w:val="FFFFFF"/>
                        </w:rPr>
                      </w:r>
                    </w:p>
                  </w:txbxContent>
                </v:textbox>
              </v:rect>
            </w:pict>
          </mc:Fallback>
        </mc:AlternateContent>
      </w:r>
    </w:p>
    <w:p>
      <w:pPr>
        <w:pStyle w:val="Default"/>
        <w:ind w:left="-426" w:right="0" w:hanging="0"/>
        <w:rPr/>
      </w:pPr>
      <w:r>
        <w:rPr>
          <w:rFonts w:cs="Calibri" w:ascii="Calibri" w:hAnsi="Calibri"/>
          <w:b/>
        </w:rPr>
        <w:t>Band:</w:t>
      </w:r>
      <w:r>
        <w:rPr>
          <w:rFonts w:cs="Calibri" w:ascii="Calibri" w:hAnsi="Calibri"/>
        </w:rPr>
        <w:t xml:space="preserve"> </w:t>
      </w:r>
      <w:r>
        <w:rPr>
          <w:rFonts w:cs="Calibri" w:ascii="Calibri" w:hAnsi="Calibri"/>
          <w:color w:val="auto"/>
        </w:rPr>
        <w:tab/>
        <w:tab/>
        <w:t>Band 4</w:t>
      </w:r>
    </w:p>
    <w:p>
      <w:pPr>
        <w:pStyle w:val="Default"/>
        <w:ind w:left="-426" w:right="0" w:hanging="0"/>
        <w:rPr>
          <w:rFonts w:ascii="Calibri" w:hAnsi="Calibri" w:cs="Calibri"/>
          <w:color w:val="auto"/>
          <w:sz w:val="4"/>
          <w:szCs w:val="4"/>
        </w:rPr>
      </w:pPr>
      <w:r>
        <w:rPr>
          <w:rFonts w:cs="Calibri" w:ascii="Calibri" w:hAnsi="Calibri"/>
          <w:color w:val="auto"/>
          <w:sz w:val="4"/>
          <w:szCs w:val="4"/>
        </w:rPr>
      </w:r>
    </w:p>
    <w:p>
      <w:pPr>
        <w:pStyle w:val="Normal"/>
        <w:spacing w:before="0" w:after="0"/>
        <w:ind w:left="-426" w:right="0" w:hanging="0"/>
        <w:rPr/>
      </w:pPr>
      <w:r>
        <w:rPr>
          <w:rFonts w:cs="Calibri"/>
          <w:b/>
          <w:sz w:val="24"/>
          <w:szCs w:val="24"/>
        </w:rPr>
        <w:t>Reporting to:</w:t>
        <w:tab/>
      </w:r>
      <w:r>
        <w:rPr>
          <w:rFonts w:cs="Calibri"/>
          <w:bCs/>
          <w:sz w:val="24"/>
          <w:szCs w:val="24"/>
        </w:rPr>
        <w:t>Team Leader</w:t>
        <w:tab/>
      </w:r>
    </w:p>
    <w:p>
      <w:pPr>
        <w:pStyle w:val="Normal"/>
        <w:spacing w:before="0" w:after="0"/>
        <w:ind w:left="-426" w:right="0" w:hanging="0"/>
        <w:rPr/>
      </w:pPr>
      <w:r>
        <w:rPr>
          <w:rFonts w:cs="Calibri"/>
          <w:b/>
          <w:sz w:val="24"/>
          <w:szCs w:val="24"/>
        </w:rPr>
        <w:t xml:space="preserve">Responsible for:  </w:t>
        <w:tab/>
      </w:r>
      <w:r>
        <w:rPr>
          <w:rFonts w:cs="Calibri"/>
          <w:bCs/>
          <w:sz w:val="24"/>
          <w:szCs w:val="24"/>
        </w:rPr>
        <w:t>No direct reports</w:t>
      </w:r>
    </w:p>
    <w:p>
      <w:pPr>
        <w:pStyle w:val="Normal"/>
        <w:spacing w:before="0" w:after="0"/>
        <w:ind w:left="-426" w:right="0" w:hanging="0"/>
        <w:rPr>
          <w:rFonts w:cs="Calibri"/>
          <w:b/>
          <w:b/>
          <w:sz w:val="8"/>
          <w:szCs w:val="8"/>
        </w:rPr>
      </w:pPr>
      <w:r>
        <w:rPr>
          <w:rFonts w:cs="Calibri"/>
          <w:b/>
          <w:sz w:val="8"/>
          <w:szCs w:val="8"/>
        </w:rPr>
      </w:r>
    </w:p>
    <w:p>
      <w:pPr>
        <w:pStyle w:val="Normal"/>
        <w:spacing w:before="0" w:after="0"/>
        <w:ind w:left="-426" w:right="0" w:hanging="0"/>
        <w:rPr>
          <w:rFonts w:cs="Calibri"/>
          <w:b/>
          <w:b/>
          <w:sz w:val="4"/>
          <w:szCs w:val="4"/>
        </w:rPr>
      </w:pPr>
      <w:r>
        <w:rPr>
          <w:rFonts w:cs="Calibri"/>
          <w:b/>
          <w:sz w:val="4"/>
          <w:szCs w:val="4"/>
        </w:rPr>
        <mc:AlternateContent>
          <mc:Choice Requires="wps">
            <w:drawing>
              <wp:anchor behindDoc="0" distT="0" distB="0" distL="114935" distR="114935" simplePos="0" locked="0" layoutInCell="1" allowOverlap="1" relativeHeight="8">
                <wp:simplePos x="0" y="0"/>
                <wp:positionH relativeFrom="column">
                  <wp:posOffset>-361950</wp:posOffset>
                </wp:positionH>
                <wp:positionV relativeFrom="paragraph">
                  <wp:posOffset>78105</wp:posOffset>
                </wp:positionV>
                <wp:extent cx="4655185" cy="295910"/>
                <wp:effectExtent l="0" t="0" r="0" b="0"/>
                <wp:wrapNone/>
                <wp:docPr id="4" name=""/>
                <a:graphic xmlns:a="http://schemas.openxmlformats.org/drawingml/2006/main">
                  <a:graphicData uri="http://schemas.microsoft.com/office/word/2010/wordprocessingShape">
                    <wps:wsp>
                      <wps:cNvSpPr txBox="1"/>
                      <wps:spPr>
                        <a:xfrm>
                          <a:off x="0" y="0"/>
                          <a:ext cx="4654440" cy="29520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28.5pt;margin-top:6.15pt;width:366.45pt;height:2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w:r>
      <w:r>
        <mc:AlternateContent>
          <mc:Choice Requires="wps">
            <w:drawing>
              <wp:anchor behindDoc="0" distT="72390" distB="72390" distL="0" distR="12700" simplePos="0" locked="0" layoutInCell="1" allowOverlap="1" relativeHeight="13">
                <wp:simplePos x="0" y="0"/>
                <wp:positionH relativeFrom="column">
                  <wp:posOffset>-361950</wp:posOffset>
                </wp:positionH>
                <wp:positionV relativeFrom="paragraph">
                  <wp:posOffset>78105</wp:posOffset>
                </wp:positionV>
                <wp:extent cx="4654550" cy="295275"/>
                <wp:effectExtent l="0" t="0" r="0" b="0"/>
                <wp:wrapNone/>
                <wp:docPr id="5" name="Frame2"/>
                <a:graphic xmlns:a="http://schemas.openxmlformats.org/drawingml/2006/main">
                  <a:graphicData uri="http://schemas.microsoft.com/office/word/2010/wordprocessingShape">
                    <wps:wsp>
                      <wps:cNvSpPr txBox="1"/>
                      <wps:spPr>
                        <a:xfrm>
                          <a:off x="0" y="0"/>
                          <a:ext cx="4654550" cy="295275"/>
                        </a:xfrm>
                        <a:prstGeom prst="rect"/>
                        <a:solidFill>
                          <a:srgbClr val="FFFFFF"/>
                        </a:solidFill>
                      </wps:spPr>
                      <wps:txbx>
                        <w:txbxContent>
                          <w:p>
                            <w:pPr>
                              <w:pStyle w:val="FrameContents"/>
                              <w:spacing w:before="0" w:after="200"/>
                              <w:rPr>
                                <w:rFonts w:cs="Calibri"/>
                                <w:b/>
                                <w:b/>
                                <w:color w:val="FFFFFF"/>
                                <w:sz w:val="28"/>
                                <w:szCs w:val="24"/>
                              </w:rPr>
                            </w:pPr>
                            <w:r>
                              <w:rPr>
                                <w:rFonts w:cs="Calibri"/>
                                <w:b/>
                                <w:color w:val="FFFFFF"/>
                                <w:sz w:val="28"/>
                                <w:szCs w:val="24"/>
                              </w:rPr>
                              <w:t>About Us</w:t>
                            </w:r>
                          </w:p>
                        </w:txbxContent>
                      </wps:txbx>
                      <wps:bodyPr anchor="t" lIns="92075" tIns="46355" rIns="92075" bIns="46355">
                        <a:noAutofit/>
                      </wps:bodyPr>
                    </wps:wsp>
                  </a:graphicData>
                </a:graphic>
              </wp:anchor>
            </w:drawing>
          </mc:Choice>
          <mc:Fallback>
            <w:pict>
              <v:rect fillcolor="#FFFFFF" style="position:absolute;rotation:0;width:366.5pt;height:23.25pt;mso-wrap-distance-left:0pt;mso-wrap-distance-right:1pt;mso-wrap-distance-top:5.7pt;mso-wrap-distance-bottom:5.7pt;margin-top:6.15pt;mso-position-vertical-relative:text;margin-left:-28.5pt;mso-position-horizontal-relative:text">
                <v:textbox inset="0.100694444444444in,0.0506944444444444in,0.100694444444444in,0.0506944444444444in">
                  <w:txbxContent>
                    <w:p>
                      <w:pPr>
                        <w:pStyle w:val="FrameContents"/>
                        <w:spacing w:before="0" w:after="200"/>
                        <w:rPr>
                          <w:rFonts w:cs="Calibri"/>
                          <w:b/>
                          <w:b/>
                          <w:color w:val="FFFFFF"/>
                          <w:sz w:val="28"/>
                          <w:szCs w:val="24"/>
                        </w:rPr>
                      </w:pPr>
                      <w:r>
                        <w:rPr>
                          <w:rFonts w:cs="Calibri"/>
                          <w:b/>
                          <w:color w:val="FFFFFF"/>
                          <w:sz w:val="28"/>
                          <w:szCs w:val="24"/>
                        </w:rPr>
                        <w:t>About Us</w:t>
                      </w:r>
                    </w:p>
                  </w:txbxContent>
                </v:textbox>
              </v:rect>
            </w:pict>
          </mc:Fallback>
        </mc:AlternateContent>
      </w:r>
    </w:p>
    <w:p>
      <w:pPr>
        <w:pStyle w:val="Normal"/>
        <w:rPr>
          <w:rFonts w:cs="Calibri"/>
          <w:sz w:val="4"/>
          <w:szCs w:val="4"/>
          <w:u w:val="single"/>
        </w:rPr>
      </w:pPr>
      <w:r>
        <w:rPr>
          <w:rFonts w:cs="Calibri"/>
          <w:sz w:val="4"/>
          <w:szCs w:val="4"/>
          <w:u w:val="single"/>
        </w:rPr>
        <mc:AlternateContent>
          <mc:Choice Requires="wps">
            <w:drawing>
              <wp:anchor behindDoc="0" distT="0" distB="0" distL="114935" distR="114935" simplePos="0" locked="0" layoutInCell="1" allowOverlap="1" relativeHeight="3">
                <wp:simplePos x="0" y="0"/>
                <wp:positionH relativeFrom="column">
                  <wp:posOffset>4508500</wp:posOffset>
                </wp:positionH>
                <wp:positionV relativeFrom="paragraph">
                  <wp:posOffset>42545</wp:posOffset>
                </wp:positionV>
                <wp:extent cx="4712335" cy="295910"/>
                <wp:effectExtent l="0" t="0" r="0" b="0"/>
                <wp:wrapNone/>
                <wp:docPr id="6" name=""/>
                <a:graphic xmlns:a="http://schemas.openxmlformats.org/drawingml/2006/main">
                  <a:graphicData uri="http://schemas.microsoft.com/office/word/2010/wordprocessingShape">
                    <wps:wsp>
                      <wps:cNvSpPr txBox="1"/>
                      <wps:spPr>
                        <a:xfrm>
                          <a:off x="0" y="0"/>
                          <a:ext cx="4711680" cy="29520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355pt;margin-top:3.35pt;width:370.95pt;height:2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mc:AlternateContent>
          <mc:Choice Requires="wps">
            <w:drawing>
              <wp:anchor behindDoc="0" distT="0" distB="0" distL="114935" distR="114935" simplePos="0" locked="0" layoutInCell="1" allowOverlap="1" relativeHeight="4">
                <wp:simplePos x="0" y="0"/>
                <wp:positionH relativeFrom="column">
                  <wp:posOffset>-358775</wp:posOffset>
                </wp:positionH>
                <wp:positionV relativeFrom="paragraph">
                  <wp:posOffset>336550</wp:posOffset>
                </wp:positionV>
                <wp:extent cx="4819650" cy="5118735"/>
                <wp:effectExtent l="0" t="0" r="0" b="0"/>
                <wp:wrapNone/>
                <wp:docPr id="7" name=""/>
                <a:graphic xmlns:a="http://schemas.openxmlformats.org/drawingml/2006/main">
                  <a:graphicData uri="http://schemas.microsoft.com/office/word/2010/wordprocessingShape">
                    <wps:wsp>
                      <wps:cNvSpPr txBox="1"/>
                      <wps:spPr>
                        <a:xfrm>
                          <a:off x="0" y="0"/>
                          <a:ext cx="4818960" cy="5118120"/>
                        </a:xfrm>
                        <a:prstGeom prst="rect">
                          <a:avLst/>
                        </a:prstGeom>
                        <a:noFill/>
                        <a:ln>
                          <a:noFill/>
                        </a:ln>
                      </wps:spPr>
                      <wps:bodyPr/>
                    </wps:wsp>
                  </a:graphicData>
                </a:graphic>
              </wp:anchor>
            </w:drawing>
          </mc:Choice>
          <mc:Fallback>
            <w:pict>
              <v:shape id="shape_0" stroked="f" style="position:absolute;margin-left:-28.25pt;margin-top:26.5pt;width:379.4pt;height:402.9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0" distT="72390" distB="72390" distL="0" distR="0" simplePos="0" locked="0" layoutInCell="1" allowOverlap="1" relativeHeight="14">
                <wp:simplePos x="0" y="0"/>
                <wp:positionH relativeFrom="column">
                  <wp:posOffset>-358775</wp:posOffset>
                </wp:positionH>
                <wp:positionV relativeFrom="paragraph">
                  <wp:posOffset>336550</wp:posOffset>
                </wp:positionV>
                <wp:extent cx="4819015" cy="5092700"/>
                <wp:effectExtent l="0" t="0" r="0" b="0"/>
                <wp:wrapNone/>
                <wp:docPr id="8" name="Frame3"/>
                <a:graphic xmlns:a="http://schemas.openxmlformats.org/drawingml/2006/main">
                  <a:graphicData uri="http://schemas.microsoft.com/office/word/2010/wordprocessingShape">
                    <wps:wsp>
                      <wps:cNvSpPr txBox="1"/>
                      <wps:spPr>
                        <a:xfrm>
                          <a:off x="0" y="0"/>
                          <a:ext cx="4819015" cy="5092700"/>
                        </a:xfrm>
                        <a:prstGeom prst="rect"/>
                        <a:solidFill>
                          <a:srgbClr val="FFFFFF"/>
                        </a:solidFill>
                      </wps:spPr>
                      <wps:txbx>
                        <w:txbxContent>
                          <w:p>
                            <w:pPr>
                              <w:pStyle w:val="FrameContents"/>
                              <w:spacing w:lineRule="auto" w:line="240"/>
                              <w:rPr/>
                            </w:pPr>
                            <w:r>
                              <w:rPr>
                                <w:rFonts w:cs="Calibri"/>
                                <w:sz w:val="24"/>
                                <w:szCs w:val="24"/>
                              </w:rPr>
                              <w:t>Trafford is a great place to live, work, learn and visit.</w:t>
                            </w:r>
                            <w:r>
                              <w:rPr>
                                <w:rFonts w:cs="Calibri"/>
                                <w:b/>
                                <w:sz w:val="24"/>
                                <w:szCs w:val="24"/>
                              </w:rPr>
                              <w:t xml:space="preserve"> </w:t>
                            </w:r>
                            <w:r>
                              <w:rPr>
                                <w:rStyle w:val="Strong"/>
                                <w:rFonts w:cs="Calibri"/>
                                <w:b w:val="false"/>
                                <w:sz w:val="24"/>
                                <w:szCs w:val="24"/>
                                <w:lang w:val="en"/>
                              </w:rPr>
                              <w:t>From its leafy suburbs to its more urban areas, the borough takes pride in its strong, diverse communities, its cultural and sporting heritage and its position at the heart of the region’s economic powerhouse.</w:t>
                            </w:r>
                          </w:p>
                          <w:p>
                            <w:pPr>
                              <w:pStyle w:val="FrameContents"/>
                              <w:spacing w:lineRule="auto" w:line="240"/>
                              <w:rPr>
                                <w:rFonts w:cs="Calibri"/>
                                <w:sz w:val="24"/>
                                <w:szCs w:val="24"/>
                              </w:rPr>
                            </w:pPr>
                            <w:r>
                              <w:rPr>
                                <w:rFonts w:cs="Calibri"/>
                                <w:sz w:val="24"/>
                                <w:szCs w:val="24"/>
                              </w:rPr>
                              <w:t xml:space="preserve">Trafford Council and its partners in the public, private and third sectors have a Vision which sees us working together to close inequality gaps and maximise Trafford’s huge potential. </w:t>
                            </w:r>
                          </w:p>
                          <w:p>
                            <w:pPr>
                              <w:pStyle w:val="FrameContents"/>
                              <w:spacing w:lineRule="auto" w:line="240"/>
                              <w:jc w:val="center"/>
                              <w:rPr>
                                <w:rFonts w:cs="Calibri"/>
                                <w:b/>
                                <w:b/>
                                <w:i/>
                                <w:i/>
                                <w:sz w:val="24"/>
                                <w:szCs w:val="24"/>
                              </w:rPr>
                            </w:pPr>
                            <w:r>
                              <w:rPr>
                                <w:rFonts w:cs="Calibri"/>
                                <w:b/>
                                <w:i/>
                                <w:sz w:val="24"/>
                                <w:szCs w:val="24"/>
                              </w:rPr>
                              <w:t>Our vision: Trafford – where all our residents, businesses and communities thrive</w:t>
                            </w:r>
                          </w:p>
                          <w:p>
                            <w:pPr>
                              <w:pStyle w:val="FrameContents"/>
                              <w:spacing w:lineRule="auto" w:line="240"/>
                              <w:rPr>
                                <w:rFonts w:cs="Calibri"/>
                                <w:sz w:val="24"/>
                                <w:szCs w:val="24"/>
                              </w:rPr>
                            </w:pPr>
                            <w:r>
                              <w:rPr>
                                <w:rFonts w:cs="Calibri"/>
                                <w:sz w:val="24"/>
                                <w:szCs w:val="24"/>
                              </w:rPr>
                              <w:t>At the heart of our vision is a common cause – we want to make Trafford a better borough. We want to make it a place where everyone has a chance to succeed and where everybody has a voice. Through our new vision, we are making a commitment to work together across different services and agencies to make the best use of our resources.</w:t>
                            </w:r>
                          </w:p>
                          <w:p>
                            <w:pPr>
                              <w:pStyle w:val="NormalWeb"/>
                              <w:spacing w:before="160" w:after="0"/>
                              <w:ind w:left="547" w:right="0" w:hanging="547"/>
                              <w:rPr/>
                            </w:pPr>
                            <w:r>
                              <w:rPr/>
                              <w:drawing>
                                <wp:inline distT="0" distB="0" distL="0" distR="0">
                                  <wp:extent cx="4477385" cy="1916430"/>
                                  <wp:effectExtent l="0" t="0" r="0" b="0"/>
                                  <wp:docPr id="9"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pic:cNvPicPr>
                                            <a:picLocks noChangeAspect="1" noChangeArrowheads="1"/>
                                          </pic:cNvPicPr>
                                        </pic:nvPicPr>
                                        <pic:blipFill>
                                          <a:blip r:embed="rId3"/>
                                          <a:srcRect l="-9" t="-22" r="-9" b="-22"/>
                                          <a:stretch>
                                            <a:fillRect/>
                                          </a:stretch>
                                        </pic:blipFill>
                                        <pic:spPr bwMode="auto">
                                          <a:xfrm>
                                            <a:off x="0" y="0"/>
                                            <a:ext cx="4477385" cy="191643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379.45pt;height:401pt;mso-wrap-distance-left:0pt;mso-wrap-distance-right:0pt;mso-wrap-distance-top:5.7pt;mso-wrap-distance-bottom:5.7pt;margin-top:26.5pt;mso-position-vertical-relative:text;margin-left:-28.25pt;mso-position-horizontal-relative:text">
                <v:textbox inset="0.100694444444444in,0.0506944444444444in,0.100694444444444in,0.0506944444444444in">
                  <w:txbxContent>
                    <w:p>
                      <w:pPr>
                        <w:pStyle w:val="FrameContents"/>
                        <w:spacing w:lineRule="auto" w:line="240"/>
                        <w:rPr/>
                      </w:pPr>
                      <w:r>
                        <w:rPr>
                          <w:rFonts w:cs="Calibri"/>
                          <w:sz w:val="24"/>
                          <w:szCs w:val="24"/>
                        </w:rPr>
                        <w:t>Trafford is a great place to live, work, learn and visit.</w:t>
                      </w:r>
                      <w:r>
                        <w:rPr>
                          <w:rFonts w:cs="Calibri"/>
                          <w:b/>
                          <w:sz w:val="24"/>
                          <w:szCs w:val="24"/>
                        </w:rPr>
                        <w:t xml:space="preserve"> </w:t>
                      </w:r>
                      <w:r>
                        <w:rPr>
                          <w:rStyle w:val="Strong"/>
                          <w:rFonts w:cs="Calibri"/>
                          <w:b w:val="false"/>
                          <w:sz w:val="24"/>
                          <w:szCs w:val="24"/>
                          <w:lang w:val="en"/>
                        </w:rPr>
                        <w:t>From its leafy suburbs to its more urban areas, the borough takes pride in its strong, diverse communities, its cultural and sporting heritage and its position at the heart of the region’s economic powerhouse.</w:t>
                      </w:r>
                    </w:p>
                    <w:p>
                      <w:pPr>
                        <w:pStyle w:val="FrameContents"/>
                        <w:spacing w:lineRule="auto" w:line="240"/>
                        <w:rPr>
                          <w:rFonts w:cs="Calibri"/>
                          <w:sz w:val="24"/>
                          <w:szCs w:val="24"/>
                        </w:rPr>
                      </w:pPr>
                      <w:r>
                        <w:rPr>
                          <w:rFonts w:cs="Calibri"/>
                          <w:sz w:val="24"/>
                          <w:szCs w:val="24"/>
                        </w:rPr>
                        <w:t xml:space="preserve">Trafford Council and its partners in the public, private and third sectors have a Vision which sees us working together to close inequality gaps and maximise Trafford’s huge potential. </w:t>
                      </w:r>
                    </w:p>
                    <w:p>
                      <w:pPr>
                        <w:pStyle w:val="FrameContents"/>
                        <w:spacing w:lineRule="auto" w:line="240"/>
                        <w:jc w:val="center"/>
                        <w:rPr>
                          <w:rFonts w:cs="Calibri"/>
                          <w:b/>
                          <w:b/>
                          <w:i/>
                          <w:i/>
                          <w:sz w:val="24"/>
                          <w:szCs w:val="24"/>
                        </w:rPr>
                      </w:pPr>
                      <w:r>
                        <w:rPr>
                          <w:rFonts w:cs="Calibri"/>
                          <w:b/>
                          <w:i/>
                          <w:sz w:val="24"/>
                          <w:szCs w:val="24"/>
                        </w:rPr>
                        <w:t>Our vision: Trafford – where all our residents, businesses and communities thrive</w:t>
                      </w:r>
                    </w:p>
                    <w:p>
                      <w:pPr>
                        <w:pStyle w:val="FrameContents"/>
                        <w:spacing w:lineRule="auto" w:line="240"/>
                        <w:rPr>
                          <w:rFonts w:cs="Calibri"/>
                          <w:sz w:val="24"/>
                          <w:szCs w:val="24"/>
                        </w:rPr>
                      </w:pPr>
                      <w:r>
                        <w:rPr>
                          <w:rFonts w:cs="Calibri"/>
                          <w:sz w:val="24"/>
                          <w:szCs w:val="24"/>
                        </w:rPr>
                        <w:t>At the heart of our vision is a common cause – we want to make Trafford a better borough. We want to make it a place where everyone has a chance to succeed and where everybody has a voice. Through our new vision, we are making a commitment to work together across different services and agencies to make the best use of our resources.</w:t>
                      </w:r>
                    </w:p>
                    <w:p>
                      <w:pPr>
                        <w:pStyle w:val="NormalWeb"/>
                        <w:spacing w:before="160" w:after="0"/>
                        <w:ind w:left="547" w:right="0" w:hanging="547"/>
                        <w:rPr/>
                      </w:pPr>
                      <w:r>
                        <w:rPr/>
                        <w:drawing>
                          <wp:inline distT="0" distB="0" distL="0" distR="0">
                            <wp:extent cx="4477385" cy="1916430"/>
                            <wp:effectExtent l="0" t="0" r="0" b="0"/>
                            <wp:docPr id="1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
                                    <pic:cNvPicPr>
                                      <a:picLocks noChangeAspect="1" noChangeArrowheads="1"/>
                                    </pic:cNvPicPr>
                                  </pic:nvPicPr>
                                  <pic:blipFill>
                                    <a:blip r:embed="rId3"/>
                                    <a:srcRect l="-9" t="-22" r="-9" b="-22"/>
                                    <a:stretch>
                                      <a:fillRect/>
                                    </a:stretch>
                                  </pic:blipFill>
                                  <pic:spPr bwMode="auto">
                                    <a:xfrm>
                                      <a:off x="0" y="0"/>
                                      <a:ext cx="4477385" cy="1916430"/>
                                    </a:xfrm>
                                    <a:prstGeom prst="rect">
                                      <a:avLst/>
                                    </a:prstGeom>
                                  </pic:spPr>
                                </pic:pic>
                              </a:graphicData>
                            </a:graphic>
                          </wp:inline>
                        </w:drawing>
                      </w:r>
                    </w:p>
                  </w:txbxContent>
                </v:textbox>
              </v:rect>
            </w:pict>
          </mc:Fallback>
        </mc:AlternateContent>
      </w:r>
      <w:r>
        <mc:AlternateContent>
          <mc:Choice Requires="wps">
            <w:drawing>
              <wp:anchor behindDoc="0" distT="72390" distB="72390" distL="0" distR="12700" simplePos="0" locked="0" layoutInCell="1" allowOverlap="1" relativeHeight="16">
                <wp:simplePos x="0" y="0"/>
                <wp:positionH relativeFrom="column">
                  <wp:posOffset>4508500</wp:posOffset>
                </wp:positionH>
                <wp:positionV relativeFrom="paragraph">
                  <wp:posOffset>42545</wp:posOffset>
                </wp:positionV>
                <wp:extent cx="4711700" cy="295275"/>
                <wp:effectExtent l="0" t="0" r="0" b="0"/>
                <wp:wrapNone/>
                <wp:docPr id="11" name="Frame4"/>
                <a:graphic xmlns:a="http://schemas.openxmlformats.org/drawingml/2006/main">
                  <a:graphicData uri="http://schemas.microsoft.com/office/word/2010/wordprocessingShape">
                    <wps:wsp>
                      <wps:cNvSpPr txBox="1"/>
                      <wps:spPr>
                        <a:xfrm>
                          <a:off x="0" y="0"/>
                          <a:ext cx="4711700" cy="295275"/>
                        </a:xfrm>
                        <a:prstGeom prst="rect"/>
                        <a:solidFill>
                          <a:srgbClr val="FFFFFF"/>
                        </a:solidFill>
                      </wps:spPr>
                      <wps:txbx>
                        <w:txbxContent>
                          <w:p>
                            <w:pPr>
                              <w:pStyle w:val="FrameContents"/>
                              <w:spacing w:before="0" w:after="280"/>
                              <w:rPr>
                                <w:rFonts w:cs="Calibri"/>
                                <w:b/>
                                <w:b/>
                                <w:color w:val="FFFFFF"/>
                                <w:sz w:val="28"/>
                                <w:szCs w:val="24"/>
                              </w:rPr>
                            </w:pPr>
                            <w:r>
                              <w:rPr>
                                <w:rFonts w:cs="Calibri"/>
                                <w:b/>
                                <w:color w:val="FFFFFF"/>
                                <w:sz w:val="28"/>
                                <w:szCs w:val="24"/>
                              </w:rPr>
                              <w:t>Our Culture</w:t>
                            </w:r>
                          </w:p>
                        </w:txbxContent>
                      </wps:txbx>
                      <wps:bodyPr anchor="t" lIns="92075" tIns="46355" rIns="92075" bIns="46355">
                        <a:noAutofit/>
                      </wps:bodyPr>
                    </wps:wsp>
                  </a:graphicData>
                </a:graphic>
              </wp:anchor>
            </w:drawing>
          </mc:Choice>
          <mc:Fallback>
            <w:pict>
              <v:rect fillcolor="#FFFFFF" style="position:absolute;rotation:0;width:371pt;height:23.25pt;mso-wrap-distance-left:0pt;mso-wrap-distance-right:1pt;mso-wrap-distance-top:5.7pt;mso-wrap-distance-bottom:5.7pt;margin-top:3.35pt;mso-position-vertical-relative:text;margin-left:355pt;mso-position-horizontal-relative:text">
                <v:textbox inset="0.100694444444444in,0.0506944444444444in,0.100694444444444in,0.0506944444444444in">
                  <w:txbxContent>
                    <w:p>
                      <w:pPr>
                        <w:pStyle w:val="FrameContents"/>
                        <w:spacing w:before="0" w:after="280"/>
                        <w:rPr>
                          <w:rFonts w:cs="Calibri"/>
                          <w:b/>
                          <w:b/>
                          <w:color w:val="FFFFFF"/>
                          <w:sz w:val="28"/>
                          <w:szCs w:val="24"/>
                        </w:rPr>
                      </w:pPr>
                      <w:r>
                        <w:rPr>
                          <w:rFonts w:cs="Calibri"/>
                          <w:b/>
                          <w:color w:val="FFFFFF"/>
                          <w:sz w:val="28"/>
                          <w:szCs w:val="24"/>
                        </w:rPr>
                        <w:t>Our Culture</w:t>
                      </w:r>
                    </w:p>
                  </w:txbxContent>
                </v:textbox>
              </v:rect>
            </w:pict>
          </mc:Fallback>
        </mc:AlternateContent>
      </w:r>
    </w:p>
    <w:p>
      <w:pPr>
        <w:pStyle w:val="Normal"/>
        <w:rPr>
          <w:u w:val="single"/>
        </w:rPr>
      </w:pPr>
      <w:r>
        <w:rPr>
          <w:u w:val="single"/>
        </w:rPr>
        <mc:AlternateContent>
          <mc:Choice Requires="wps">
            <w:drawing>
              <wp:anchor behindDoc="0" distT="0" distB="0" distL="114935" distR="114935" simplePos="0" locked="0" layoutInCell="1" allowOverlap="1" relativeHeight="7">
                <wp:simplePos x="0" y="0"/>
                <wp:positionH relativeFrom="column">
                  <wp:posOffset>4495800</wp:posOffset>
                </wp:positionH>
                <wp:positionV relativeFrom="paragraph">
                  <wp:posOffset>36830</wp:posOffset>
                </wp:positionV>
                <wp:extent cx="4756785" cy="2073910"/>
                <wp:effectExtent l="0" t="0" r="0" b="0"/>
                <wp:wrapNone/>
                <wp:docPr id="12" name=""/>
                <a:graphic xmlns:a="http://schemas.openxmlformats.org/drawingml/2006/main">
                  <a:graphicData uri="http://schemas.microsoft.com/office/word/2010/wordprocessingShape">
                    <wps:wsp>
                      <wps:cNvSpPr txBox="1"/>
                      <wps:spPr>
                        <a:xfrm>
                          <a:off x="0" y="0"/>
                          <a:ext cx="4756320" cy="2073240"/>
                        </a:xfrm>
                        <a:prstGeom prst="rect">
                          <a:avLst/>
                        </a:prstGeom>
                        <a:solidFill>
                          <a:srgbClr val="ffffff"/>
                        </a:solidFill>
                        <a:ln>
                          <a:noFill/>
                        </a:ln>
                      </wps:spPr>
                      <wps:bodyPr/>
                    </wps:wsp>
                  </a:graphicData>
                </a:graphic>
              </wp:anchor>
            </w:drawing>
          </mc:Choice>
          <mc:Fallback>
            <w:pict>
              <v:shape id="shape_0" fillcolor="white" stroked="f" style="position:absolute;margin-left:354pt;margin-top:2.9pt;width:374.45pt;height:16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6350" simplePos="0" locked="0" layoutInCell="1" allowOverlap="1" relativeHeight="17">
                <wp:simplePos x="0" y="0"/>
                <wp:positionH relativeFrom="column">
                  <wp:posOffset>4495800</wp:posOffset>
                </wp:positionH>
                <wp:positionV relativeFrom="paragraph">
                  <wp:posOffset>36830</wp:posOffset>
                </wp:positionV>
                <wp:extent cx="4756150" cy="2073275"/>
                <wp:effectExtent l="0" t="0" r="0" b="0"/>
                <wp:wrapNone/>
                <wp:docPr id="13" name="Frame5"/>
                <a:graphic xmlns:a="http://schemas.openxmlformats.org/drawingml/2006/main">
                  <a:graphicData uri="http://schemas.microsoft.com/office/word/2010/wordprocessingShape">
                    <wps:wsp>
                      <wps:cNvSpPr txBox="1"/>
                      <wps:spPr>
                        <a:xfrm>
                          <a:off x="0" y="0"/>
                          <a:ext cx="4756150" cy="2073275"/>
                        </a:xfrm>
                        <a:prstGeom prst="rect"/>
                        <a:solidFill>
                          <a:srgbClr val="FFFFFF"/>
                        </a:solidFill>
                      </wps:spPr>
                      <wps:txbx>
                        <w:txbxContent>
                          <w:p>
                            <w:pPr>
                              <w:pStyle w:val="FrameContents"/>
                              <w:spacing w:lineRule="auto" w:line="240"/>
                              <w:rPr/>
                            </w:pPr>
                            <w:r>
                              <w:rPr>
                                <w:rFonts w:cs="Calibri"/>
                                <w:sz w:val="24"/>
                                <w:szCs w:val="24"/>
                              </w:rPr>
                              <w:t>Trafford Council employs around 2300 non-school members of staff and a</w:t>
                            </w:r>
                            <w:r>
                              <w:rPr>
                                <w:rFonts w:cs="Calibri"/>
                                <w:sz w:val="24"/>
                                <w:szCs w:val="24"/>
                                <w:lang w:val="en"/>
                              </w:rPr>
                              <w:t>s one of the biggest employers in the borough,</w:t>
                            </w:r>
                            <w:r>
                              <w:rPr>
                                <w:rFonts w:cs="Calibri"/>
                                <w:sz w:val="24"/>
                                <w:szCs w:val="24"/>
                              </w:rPr>
                              <w:t xml:space="preserve"> we work hard to make Trafford Council an employer of choice. We care what you think and believe you are more than just a job role.  We have a great benefits’ package and a real focus on your health and wellbeing, as well as, extensive learning, succession and development opportunities.</w:t>
                            </w:r>
                          </w:p>
                          <w:p>
                            <w:pPr>
                              <w:pStyle w:val="FrameContents"/>
                              <w:spacing w:lineRule="auto" w:line="240"/>
                              <w:rPr/>
                            </w:pPr>
                            <w:r>
                              <w:rPr>
                                <w:rFonts w:cs="Calibri"/>
                                <w:sz w:val="24"/>
                                <w:szCs w:val="24"/>
                              </w:rPr>
                              <w:t xml:space="preserve">For us, it’s not just about </w:t>
                            </w:r>
                            <w:r>
                              <w:rPr>
                                <w:rFonts w:cs="Calibri"/>
                                <w:i/>
                                <w:sz w:val="24"/>
                                <w:szCs w:val="24"/>
                              </w:rPr>
                              <w:t>what</w:t>
                            </w:r>
                            <w:r>
                              <w:rPr>
                                <w:rFonts w:cs="Calibri"/>
                                <w:sz w:val="24"/>
                                <w:szCs w:val="24"/>
                              </w:rPr>
                              <w:t xml:space="preserve"> we achieve as an organisation, but </w:t>
                            </w:r>
                            <w:r>
                              <w:rPr>
                                <w:rFonts w:cs="Calibri"/>
                                <w:i/>
                                <w:sz w:val="24"/>
                                <w:szCs w:val="24"/>
                              </w:rPr>
                              <w:t>how</w:t>
                            </w:r>
                            <w:r>
                              <w:rPr>
                                <w:rFonts w:cs="Calibri"/>
                                <w:sz w:val="24"/>
                                <w:szCs w:val="24"/>
                              </w:rPr>
                              <w:t xml:space="preserve"> we do it. Therefore, all employees are expected to display our </w:t>
                            </w:r>
                            <w:r>
                              <w:rPr>
                                <w:rFonts w:cs="Calibri"/>
                                <w:b/>
                                <w:color w:val="FF671D"/>
                                <w:sz w:val="24"/>
                                <w:szCs w:val="24"/>
                              </w:rPr>
                              <w:t>EPIC</w:t>
                            </w:r>
                            <w:r>
                              <w:rPr>
                                <w:rFonts w:cs="Calibri"/>
                                <w:color w:val="FF671D"/>
                                <w:sz w:val="24"/>
                                <w:szCs w:val="24"/>
                              </w:rPr>
                              <w:t xml:space="preserve"> </w:t>
                            </w:r>
                            <w:r>
                              <w:rPr>
                                <w:rFonts w:cs="Calibri"/>
                                <w:sz w:val="24"/>
                                <w:szCs w:val="24"/>
                              </w:rPr>
                              <w:t xml:space="preserve">values. </w:t>
                            </w:r>
                          </w:p>
                          <w:p>
                            <w:pPr>
                              <w:pStyle w:val="FrameContents"/>
                              <w:spacing w:lineRule="auto" w:line="240"/>
                              <w:rPr>
                                <w:rFonts w:ascii="Arial" w:hAnsi="Arial" w:cs="Arial"/>
                              </w:rPr>
                            </w:pPr>
                            <w:r>
                              <w:rPr>
                                <w:rFonts w:cs="Arial" w:ascii="Arial" w:hAnsi="Arial"/>
                              </w:rPr>
                            </w:r>
                          </w:p>
                          <w:p>
                            <w:pPr>
                              <w:pStyle w:val="FrameContents"/>
                              <w:spacing w:lineRule="auto" w:line="240" w:before="0" w:after="200"/>
                              <w:rPr>
                                <w:rFonts w:ascii="Arial" w:hAnsi="Arial" w:cs="Arial"/>
                              </w:rPr>
                            </w:pPr>
                            <w:r>
                              <w:rPr>
                                <w:rFonts w:cs="Arial" w:ascii="Arial" w:hAnsi="Arial"/>
                              </w:rPr>
                            </w:r>
                          </w:p>
                        </w:txbxContent>
                      </wps:txbx>
                      <wps:bodyPr anchor="t" lIns="92075" tIns="46355" rIns="92075" bIns="46355">
                        <a:noAutofit/>
                      </wps:bodyPr>
                    </wps:wsp>
                  </a:graphicData>
                </a:graphic>
              </wp:anchor>
            </w:drawing>
          </mc:Choice>
          <mc:Fallback>
            <w:pict>
              <v:rect fillcolor="#FFFFFF" style="position:absolute;rotation:0;width:374.5pt;height:163.25pt;mso-wrap-distance-left:0pt;mso-wrap-distance-right:0.5pt;mso-wrap-distance-top:5.7pt;mso-wrap-distance-bottom:5.7pt;margin-top:2.9pt;mso-position-vertical-relative:text;margin-left:354pt;mso-position-horizontal-relative:text">
                <v:textbox inset="0.100694444444444in,0.0506944444444444in,0.100694444444444in,0.0506944444444444in">
                  <w:txbxContent>
                    <w:p>
                      <w:pPr>
                        <w:pStyle w:val="FrameContents"/>
                        <w:spacing w:lineRule="auto" w:line="240"/>
                        <w:rPr/>
                      </w:pPr>
                      <w:r>
                        <w:rPr>
                          <w:rFonts w:cs="Calibri"/>
                          <w:sz w:val="24"/>
                          <w:szCs w:val="24"/>
                        </w:rPr>
                        <w:t>Trafford Council employs around 2300 non-school members of staff and a</w:t>
                      </w:r>
                      <w:r>
                        <w:rPr>
                          <w:rFonts w:cs="Calibri"/>
                          <w:sz w:val="24"/>
                          <w:szCs w:val="24"/>
                          <w:lang w:val="en"/>
                        </w:rPr>
                        <w:t>s one of the biggest employers in the borough,</w:t>
                      </w:r>
                      <w:r>
                        <w:rPr>
                          <w:rFonts w:cs="Calibri"/>
                          <w:sz w:val="24"/>
                          <w:szCs w:val="24"/>
                        </w:rPr>
                        <w:t xml:space="preserve"> we work hard to make Trafford Council an employer of choice. We care what you think and believe you are more than just a job role.  We have a great benefits’ package and a real focus on your health and wellbeing, as well as, extensive learning, succession and development opportunities.</w:t>
                      </w:r>
                    </w:p>
                    <w:p>
                      <w:pPr>
                        <w:pStyle w:val="FrameContents"/>
                        <w:spacing w:lineRule="auto" w:line="240"/>
                        <w:rPr/>
                      </w:pPr>
                      <w:r>
                        <w:rPr>
                          <w:rFonts w:cs="Calibri"/>
                          <w:sz w:val="24"/>
                          <w:szCs w:val="24"/>
                        </w:rPr>
                        <w:t xml:space="preserve">For us, it’s not just about </w:t>
                      </w:r>
                      <w:r>
                        <w:rPr>
                          <w:rFonts w:cs="Calibri"/>
                          <w:i/>
                          <w:sz w:val="24"/>
                          <w:szCs w:val="24"/>
                        </w:rPr>
                        <w:t>what</w:t>
                      </w:r>
                      <w:r>
                        <w:rPr>
                          <w:rFonts w:cs="Calibri"/>
                          <w:sz w:val="24"/>
                          <w:szCs w:val="24"/>
                        </w:rPr>
                        <w:t xml:space="preserve"> we achieve as an organisation, but </w:t>
                      </w:r>
                      <w:r>
                        <w:rPr>
                          <w:rFonts w:cs="Calibri"/>
                          <w:i/>
                          <w:sz w:val="24"/>
                          <w:szCs w:val="24"/>
                        </w:rPr>
                        <w:t>how</w:t>
                      </w:r>
                      <w:r>
                        <w:rPr>
                          <w:rFonts w:cs="Calibri"/>
                          <w:sz w:val="24"/>
                          <w:szCs w:val="24"/>
                        </w:rPr>
                        <w:t xml:space="preserve"> we do it. Therefore, all employees are expected to display our </w:t>
                      </w:r>
                      <w:r>
                        <w:rPr>
                          <w:rFonts w:cs="Calibri"/>
                          <w:b/>
                          <w:color w:val="FF671D"/>
                          <w:sz w:val="24"/>
                          <w:szCs w:val="24"/>
                        </w:rPr>
                        <w:t>EPIC</w:t>
                      </w:r>
                      <w:r>
                        <w:rPr>
                          <w:rFonts w:cs="Calibri"/>
                          <w:color w:val="FF671D"/>
                          <w:sz w:val="24"/>
                          <w:szCs w:val="24"/>
                        </w:rPr>
                        <w:t xml:space="preserve"> </w:t>
                      </w:r>
                      <w:r>
                        <w:rPr>
                          <w:rFonts w:cs="Calibri"/>
                          <w:sz w:val="24"/>
                          <w:szCs w:val="24"/>
                        </w:rPr>
                        <w:t xml:space="preserve">values. </w:t>
                      </w:r>
                    </w:p>
                    <w:p>
                      <w:pPr>
                        <w:pStyle w:val="FrameContents"/>
                        <w:spacing w:lineRule="auto" w:line="240"/>
                        <w:rPr>
                          <w:rFonts w:ascii="Arial" w:hAnsi="Arial" w:cs="Arial"/>
                        </w:rPr>
                      </w:pPr>
                      <w:r>
                        <w:rPr>
                          <w:rFonts w:cs="Arial" w:ascii="Arial" w:hAnsi="Arial"/>
                        </w:rPr>
                      </w:r>
                    </w:p>
                    <w:p>
                      <w:pPr>
                        <w:pStyle w:val="FrameContents"/>
                        <w:spacing w:lineRule="auto" w:line="240" w:before="0" w:after="200"/>
                        <w:rPr>
                          <w:rFonts w:ascii="Arial" w:hAnsi="Arial" w:cs="Arial"/>
                        </w:rPr>
                      </w:pPr>
                      <w:r>
                        <w:rPr>
                          <w:rFonts w:cs="Arial" w:ascii="Arial" w:hAnsi="Arial"/>
                        </w:rPr>
                      </w:r>
                    </w:p>
                  </w:txbxContent>
                </v:textbox>
              </v:rect>
            </w:pict>
          </mc:Fallback>
        </mc:AlternateContent>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mc:AlternateContent>
          <mc:Choice Requires="wps">
            <w:drawing>
              <wp:anchor behindDoc="0" distT="0" distB="0" distL="114935" distR="114935" simplePos="0" locked="0" layoutInCell="1" allowOverlap="1" relativeHeight="10">
                <wp:simplePos x="0" y="0"/>
                <wp:positionH relativeFrom="column">
                  <wp:posOffset>4508500</wp:posOffset>
                </wp:positionH>
                <wp:positionV relativeFrom="paragraph">
                  <wp:posOffset>9525</wp:posOffset>
                </wp:positionV>
                <wp:extent cx="4788535" cy="3004185"/>
                <wp:effectExtent l="0" t="0" r="0" b="0"/>
                <wp:wrapNone/>
                <wp:docPr id="14" name=""/>
                <a:graphic xmlns:a="http://schemas.openxmlformats.org/drawingml/2006/main">
                  <a:graphicData uri="http://schemas.microsoft.com/office/word/2010/wordprocessingShape">
                    <wps:wsp>
                      <wps:cNvSpPr txBox="1"/>
                      <wps:spPr>
                        <a:xfrm>
                          <a:off x="0" y="0"/>
                          <a:ext cx="4788000" cy="3003480"/>
                        </a:xfrm>
                        <a:prstGeom prst="rect">
                          <a:avLst/>
                        </a:prstGeom>
                        <a:solidFill>
                          <a:srgbClr val="ffffff"/>
                        </a:solidFill>
                        <a:ln>
                          <a:noFill/>
                        </a:ln>
                      </wps:spPr>
                      <wps:bodyPr/>
                    </wps:wsp>
                  </a:graphicData>
                </a:graphic>
              </wp:anchor>
            </w:drawing>
          </mc:Choice>
          <mc:Fallback>
            <w:pict>
              <v:shape id="shape_0" fillcolor="white" stroked="f" style="position:absolute;margin-left:355pt;margin-top:0.75pt;width:376.95pt;height:236.4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0" simplePos="0" locked="0" layoutInCell="1" allowOverlap="1" relativeHeight="18">
                <wp:simplePos x="0" y="0"/>
                <wp:positionH relativeFrom="column">
                  <wp:posOffset>4508500</wp:posOffset>
                </wp:positionH>
                <wp:positionV relativeFrom="paragraph">
                  <wp:posOffset>9525</wp:posOffset>
                </wp:positionV>
                <wp:extent cx="4787900" cy="3003550"/>
                <wp:effectExtent l="0" t="0" r="0" b="0"/>
                <wp:wrapNone/>
                <wp:docPr id="15" name="Frame6"/>
                <a:graphic xmlns:a="http://schemas.openxmlformats.org/drawingml/2006/main">
                  <a:graphicData uri="http://schemas.microsoft.com/office/word/2010/wordprocessingShape">
                    <wps:wsp>
                      <wps:cNvSpPr txBox="1"/>
                      <wps:spPr>
                        <a:xfrm>
                          <a:off x="0" y="0"/>
                          <a:ext cx="4787900" cy="3003550"/>
                        </a:xfrm>
                        <a:prstGeom prst="rect"/>
                        <a:solidFill>
                          <a:srgbClr val="FFFFFF"/>
                        </a:solidFill>
                      </wps:spPr>
                      <wps:txbx>
                        <w:txbxContent>
                          <w:p>
                            <w:pPr>
                              <w:pStyle w:val="FrameContents"/>
                              <w:spacing w:lineRule="auto" w:line="240" w:before="0" w:after="120"/>
                              <w:rPr/>
                            </w:pPr>
                            <w:r>
                              <w:rPr>
                                <w:rFonts w:cs="Calibri"/>
                                <w:b/>
                                <w:sz w:val="24"/>
                              </w:rPr>
                              <w:t xml:space="preserve">At Trafford Council we are </w:t>
                            </w:r>
                            <w:r>
                              <w:rPr>
                                <w:rFonts w:cs="Calibri"/>
                                <w:b/>
                                <w:color w:val="FF671D"/>
                                <w:sz w:val="24"/>
                              </w:rPr>
                              <w:t>EPIC</w:t>
                            </w:r>
                          </w:p>
                          <w:p>
                            <w:pPr>
                              <w:pStyle w:val="FrameContents"/>
                              <w:spacing w:lineRule="auto" w:line="240" w:before="0" w:after="120"/>
                              <w:rPr/>
                            </w:pPr>
                            <w:r>
                              <w:rPr>
                                <w:rFonts w:cs="Calibri"/>
                                <w:b/>
                                <w:sz w:val="24"/>
                              </w:rPr>
                              <w:t xml:space="preserve">We </w:t>
                            </w:r>
                            <w:r>
                              <w:rPr>
                                <w:rFonts w:cs="Calibri"/>
                                <w:b/>
                                <w:color w:val="FF671D"/>
                                <w:sz w:val="32"/>
                              </w:rPr>
                              <w:t>E</w:t>
                            </w:r>
                            <w:r>
                              <w:rPr>
                                <w:rFonts w:cs="Calibri"/>
                                <w:b/>
                                <w:sz w:val="24"/>
                              </w:rPr>
                              <w:t xml:space="preserve">MPOWER – </w:t>
                            </w:r>
                            <w:r>
                              <w:rPr>
                                <w:rFonts w:cs="Calibri"/>
                                <w:sz w:val="24"/>
                                <w:szCs w:val="24"/>
                              </w:rPr>
                              <w:t>We inspire and trust our people to deliver the best outcomes for our customers, communities and colleagues.</w:t>
                            </w:r>
                          </w:p>
                          <w:p>
                            <w:pPr>
                              <w:pStyle w:val="FrameContents"/>
                              <w:spacing w:lineRule="auto" w:line="240" w:before="0" w:after="120"/>
                              <w:rPr/>
                            </w:pPr>
                            <w:r>
                              <w:rPr>
                                <w:rFonts w:cs="Calibri"/>
                                <w:b/>
                                <w:sz w:val="24"/>
                              </w:rPr>
                              <w:t xml:space="preserve">We are </w:t>
                            </w:r>
                            <w:r>
                              <w:rPr>
                                <w:rFonts w:cs="Calibri"/>
                                <w:b/>
                                <w:color w:val="FF671D"/>
                                <w:sz w:val="32"/>
                              </w:rPr>
                              <w:t>P</w:t>
                            </w:r>
                            <w:r>
                              <w:rPr>
                                <w:rFonts w:cs="Calibri"/>
                                <w:b/>
                                <w:sz w:val="24"/>
                              </w:rPr>
                              <w:t xml:space="preserve">EOPLE CENTRED </w:t>
                            </w:r>
                            <w:r>
                              <w:rPr>
                                <w:rFonts w:cs="Calibri"/>
                                <w:b/>
                                <w:sz w:val="24"/>
                                <w:szCs w:val="24"/>
                              </w:rPr>
                              <w:t xml:space="preserve">– </w:t>
                            </w:r>
                            <w:r>
                              <w:rPr>
                                <w:rFonts w:cs="Calibri"/>
                                <w:sz w:val="24"/>
                                <w:szCs w:val="24"/>
                              </w:rPr>
                              <w:t>We value all people, within and external to the organisation and give those around us respect. We will act with honesty and integrity in all that we do, and create an environment that enables everyone we work with to thrive and succeed.</w:t>
                            </w:r>
                          </w:p>
                          <w:p>
                            <w:pPr>
                              <w:pStyle w:val="FrameContents"/>
                              <w:spacing w:lineRule="auto" w:line="240" w:before="0" w:after="120"/>
                              <w:rPr/>
                            </w:pPr>
                            <w:r>
                              <w:rPr>
                                <w:rFonts w:cs="Calibri"/>
                                <w:b/>
                                <w:sz w:val="24"/>
                              </w:rPr>
                              <w:t xml:space="preserve">We are </w:t>
                            </w:r>
                            <w:r>
                              <w:rPr>
                                <w:rFonts w:cs="Calibri"/>
                                <w:b/>
                                <w:color w:val="FF671D"/>
                                <w:sz w:val="32"/>
                              </w:rPr>
                              <w:t>I</w:t>
                            </w:r>
                            <w:r>
                              <w:rPr>
                                <w:rFonts w:cs="Calibri"/>
                                <w:b/>
                                <w:sz w:val="24"/>
                              </w:rPr>
                              <w:t xml:space="preserve">NCLUSIVE – </w:t>
                            </w:r>
                            <w:r>
                              <w:rPr>
                                <w:rFonts w:cs="Calibri"/>
                                <w:sz w:val="24"/>
                                <w:szCs w:val="24"/>
                              </w:rPr>
                              <w:t>We are committed to creating an environment that values and respects the diversity and richness differences bring.</w:t>
                            </w:r>
                          </w:p>
                          <w:p>
                            <w:pPr>
                              <w:pStyle w:val="FrameContents"/>
                              <w:spacing w:lineRule="auto" w:line="240" w:before="0" w:after="120"/>
                              <w:rPr/>
                            </w:pPr>
                            <w:r>
                              <w:rPr>
                                <w:rFonts w:cs="Calibri"/>
                                <w:b/>
                                <w:sz w:val="24"/>
                              </w:rPr>
                              <w:t xml:space="preserve">We </w:t>
                            </w:r>
                            <w:r>
                              <w:rPr>
                                <w:rFonts w:cs="Calibri"/>
                                <w:b/>
                                <w:color w:val="FF671D"/>
                                <w:sz w:val="32"/>
                              </w:rPr>
                              <w:t>C</w:t>
                            </w:r>
                            <w:r>
                              <w:rPr>
                                <w:rFonts w:cs="Calibri"/>
                                <w:b/>
                                <w:sz w:val="24"/>
                              </w:rPr>
                              <w:t xml:space="preserve">OLLABORATE </w:t>
                            </w:r>
                            <w:r>
                              <w:rPr>
                                <w:rFonts w:cs="Calibri"/>
                                <w:b/>
                                <w:sz w:val="24"/>
                                <w:szCs w:val="24"/>
                              </w:rPr>
                              <w:t xml:space="preserve">– </w:t>
                            </w:r>
                            <w:r>
                              <w:rPr>
                                <w:rFonts w:cs="Calibri"/>
                                <w:sz w:val="24"/>
                                <w:szCs w:val="24"/>
                              </w:rPr>
                              <w:t>We build relationships, collaborate; treat people as equal partners and work together to make things happen.</w:t>
                            </w:r>
                          </w:p>
                        </w:txbxContent>
                      </wps:txbx>
                      <wps:bodyPr anchor="t" lIns="92075" tIns="46355" rIns="92075" bIns="46355">
                        <a:noAutofit/>
                      </wps:bodyPr>
                    </wps:wsp>
                  </a:graphicData>
                </a:graphic>
              </wp:anchor>
            </w:drawing>
          </mc:Choice>
          <mc:Fallback>
            <w:pict>
              <v:rect fillcolor="#FFFFFF" style="position:absolute;rotation:0;width:377pt;height:236.5pt;mso-wrap-distance-left:0pt;mso-wrap-distance-right:0pt;mso-wrap-distance-top:5.7pt;mso-wrap-distance-bottom:5.7pt;margin-top:0.75pt;mso-position-vertical-relative:text;margin-left:355pt;mso-position-horizontal-relative:text">
                <v:textbox inset="0.100694444444444in,0.0506944444444444in,0.100694444444444in,0.0506944444444444in">
                  <w:txbxContent>
                    <w:p>
                      <w:pPr>
                        <w:pStyle w:val="FrameContents"/>
                        <w:spacing w:lineRule="auto" w:line="240" w:before="0" w:after="120"/>
                        <w:rPr/>
                      </w:pPr>
                      <w:r>
                        <w:rPr>
                          <w:rFonts w:cs="Calibri"/>
                          <w:b/>
                          <w:sz w:val="24"/>
                        </w:rPr>
                        <w:t xml:space="preserve">At Trafford Council we are </w:t>
                      </w:r>
                      <w:r>
                        <w:rPr>
                          <w:rFonts w:cs="Calibri"/>
                          <w:b/>
                          <w:color w:val="FF671D"/>
                          <w:sz w:val="24"/>
                        </w:rPr>
                        <w:t>EPIC</w:t>
                      </w:r>
                    </w:p>
                    <w:p>
                      <w:pPr>
                        <w:pStyle w:val="FrameContents"/>
                        <w:spacing w:lineRule="auto" w:line="240" w:before="0" w:after="120"/>
                        <w:rPr/>
                      </w:pPr>
                      <w:r>
                        <w:rPr>
                          <w:rFonts w:cs="Calibri"/>
                          <w:b/>
                          <w:sz w:val="24"/>
                        </w:rPr>
                        <w:t xml:space="preserve">We </w:t>
                      </w:r>
                      <w:r>
                        <w:rPr>
                          <w:rFonts w:cs="Calibri"/>
                          <w:b/>
                          <w:color w:val="FF671D"/>
                          <w:sz w:val="32"/>
                        </w:rPr>
                        <w:t>E</w:t>
                      </w:r>
                      <w:r>
                        <w:rPr>
                          <w:rFonts w:cs="Calibri"/>
                          <w:b/>
                          <w:sz w:val="24"/>
                        </w:rPr>
                        <w:t xml:space="preserve">MPOWER – </w:t>
                      </w:r>
                      <w:r>
                        <w:rPr>
                          <w:rFonts w:cs="Calibri"/>
                          <w:sz w:val="24"/>
                          <w:szCs w:val="24"/>
                        </w:rPr>
                        <w:t>We inspire and trust our people to deliver the best outcomes for our customers, communities and colleagues.</w:t>
                      </w:r>
                    </w:p>
                    <w:p>
                      <w:pPr>
                        <w:pStyle w:val="FrameContents"/>
                        <w:spacing w:lineRule="auto" w:line="240" w:before="0" w:after="120"/>
                        <w:rPr/>
                      </w:pPr>
                      <w:r>
                        <w:rPr>
                          <w:rFonts w:cs="Calibri"/>
                          <w:b/>
                          <w:sz w:val="24"/>
                        </w:rPr>
                        <w:t xml:space="preserve">We are </w:t>
                      </w:r>
                      <w:r>
                        <w:rPr>
                          <w:rFonts w:cs="Calibri"/>
                          <w:b/>
                          <w:color w:val="FF671D"/>
                          <w:sz w:val="32"/>
                        </w:rPr>
                        <w:t>P</w:t>
                      </w:r>
                      <w:r>
                        <w:rPr>
                          <w:rFonts w:cs="Calibri"/>
                          <w:b/>
                          <w:sz w:val="24"/>
                        </w:rPr>
                        <w:t xml:space="preserve">EOPLE CENTRED </w:t>
                      </w:r>
                      <w:r>
                        <w:rPr>
                          <w:rFonts w:cs="Calibri"/>
                          <w:b/>
                          <w:sz w:val="24"/>
                          <w:szCs w:val="24"/>
                        </w:rPr>
                        <w:t xml:space="preserve">– </w:t>
                      </w:r>
                      <w:r>
                        <w:rPr>
                          <w:rFonts w:cs="Calibri"/>
                          <w:sz w:val="24"/>
                          <w:szCs w:val="24"/>
                        </w:rPr>
                        <w:t>We value all people, within and external to the organisation and give those around us respect. We will act with honesty and integrity in all that we do, and create an environment that enables everyone we work with to thrive and succeed.</w:t>
                      </w:r>
                    </w:p>
                    <w:p>
                      <w:pPr>
                        <w:pStyle w:val="FrameContents"/>
                        <w:spacing w:lineRule="auto" w:line="240" w:before="0" w:after="120"/>
                        <w:rPr/>
                      </w:pPr>
                      <w:r>
                        <w:rPr>
                          <w:rFonts w:cs="Calibri"/>
                          <w:b/>
                          <w:sz w:val="24"/>
                        </w:rPr>
                        <w:t xml:space="preserve">We are </w:t>
                      </w:r>
                      <w:r>
                        <w:rPr>
                          <w:rFonts w:cs="Calibri"/>
                          <w:b/>
                          <w:color w:val="FF671D"/>
                          <w:sz w:val="32"/>
                        </w:rPr>
                        <w:t>I</w:t>
                      </w:r>
                      <w:r>
                        <w:rPr>
                          <w:rFonts w:cs="Calibri"/>
                          <w:b/>
                          <w:sz w:val="24"/>
                        </w:rPr>
                        <w:t xml:space="preserve">NCLUSIVE – </w:t>
                      </w:r>
                      <w:r>
                        <w:rPr>
                          <w:rFonts w:cs="Calibri"/>
                          <w:sz w:val="24"/>
                          <w:szCs w:val="24"/>
                        </w:rPr>
                        <w:t>We are committed to creating an environment that values and respects the diversity and richness differences bring.</w:t>
                      </w:r>
                    </w:p>
                    <w:p>
                      <w:pPr>
                        <w:pStyle w:val="FrameContents"/>
                        <w:spacing w:lineRule="auto" w:line="240" w:before="0" w:after="120"/>
                        <w:rPr/>
                      </w:pPr>
                      <w:r>
                        <w:rPr>
                          <w:rFonts w:cs="Calibri"/>
                          <w:b/>
                          <w:sz w:val="24"/>
                        </w:rPr>
                        <w:t xml:space="preserve">We </w:t>
                      </w:r>
                      <w:r>
                        <w:rPr>
                          <w:rFonts w:cs="Calibri"/>
                          <w:b/>
                          <w:color w:val="FF671D"/>
                          <w:sz w:val="32"/>
                        </w:rPr>
                        <w:t>C</w:t>
                      </w:r>
                      <w:r>
                        <w:rPr>
                          <w:rFonts w:cs="Calibri"/>
                          <w:b/>
                          <w:sz w:val="24"/>
                        </w:rPr>
                        <w:t xml:space="preserve">OLLABORATE </w:t>
                      </w:r>
                      <w:r>
                        <w:rPr>
                          <w:rFonts w:cs="Calibri"/>
                          <w:b/>
                          <w:sz w:val="24"/>
                          <w:szCs w:val="24"/>
                        </w:rPr>
                        <w:t xml:space="preserve">– </w:t>
                      </w:r>
                      <w:r>
                        <w:rPr>
                          <w:rFonts w:cs="Calibri"/>
                          <w:sz w:val="24"/>
                          <w:szCs w:val="24"/>
                        </w:rPr>
                        <w:t>We build relationships, collaborate; treat people as equal partners and work together to make things happen.</w:t>
                      </w:r>
                    </w:p>
                  </w:txbxContent>
                </v:textbox>
              </v:rect>
            </w:pict>
          </mc:Fallback>
        </mc:AlternateContent>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w:r>
    </w:p>
    <w:p>
      <w:pPr>
        <w:pStyle w:val="Normal"/>
        <w:rPr>
          <w:u w:val="single"/>
        </w:rPr>
      </w:pPr>
      <w:r>
        <w:rPr>
          <w:u w:val="single"/>
        </w:rPr>
        <mc:AlternateContent>
          <mc:Choice Requires="wps">
            <w:drawing>
              <wp:anchor behindDoc="0" distT="0" distB="0" distL="114935" distR="114935" simplePos="0" locked="0" layoutInCell="1" allowOverlap="1" relativeHeight="11">
                <wp:simplePos x="0" y="0"/>
                <wp:positionH relativeFrom="margin">
                  <wp:align>center</wp:align>
                </wp:positionH>
                <wp:positionV relativeFrom="paragraph">
                  <wp:posOffset>-165735</wp:posOffset>
                </wp:positionV>
                <wp:extent cx="9601835" cy="362585"/>
                <wp:effectExtent l="0" t="0" r="0" b="0"/>
                <wp:wrapNone/>
                <wp:docPr id="16" name=""/>
                <a:graphic xmlns:a="http://schemas.openxmlformats.org/drawingml/2006/main">
                  <a:graphicData uri="http://schemas.microsoft.com/office/word/2010/wordprocessingShape">
                    <wps:wsp>
                      <wps:cNvSpPr txBox="1"/>
                      <wps:spPr>
                        <a:xfrm>
                          <a:off x="0" y="0"/>
                          <a:ext cx="9601200" cy="361800"/>
                        </a:xfrm>
                        <a:prstGeom prst="rect">
                          <a:avLst/>
                        </a:prstGeom>
                        <a:solidFill>
                          <a:srgbClr val="b72621"/>
                        </a:solidFill>
                        <a:ln w="25560">
                          <a:solidFill>
                            <a:srgbClr val="b72621"/>
                          </a:solidFill>
                          <a:round/>
                        </a:ln>
                      </wps:spPr>
                      <wps:bodyPr/>
                    </wps:wsp>
                  </a:graphicData>
                </a:graphic>
              </wp:anchor>
            </w:drawing>
          </mc:Choice>
          <mc:Fallback>
            <w:pict>
              <v:shape id="shape_0" fillcolor="#b72621" stroked="t" style="position:absolute;margin-left:-29.05pt;margin-top:-13.05pt;width:755.95pt;height:28.45pt;mso-position-horizontal:center;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48d9de"/>
                <v:stroke color="#b72621" weight="25560" joinstyle="round" endcap="flat"/>
              </v:shape>
            </w:pict>
          </mc:Fallback>
        </mc:AlternateContent>
      </w:r>
      <w:r>
        <mc:AlternateContent>
          <mc:Choice Requires="wps">
            <w:drawing>
              <wp:anchor behindDoc="0" distT="72390" distB="72390" distL="0" distR="19050" simplePos="0" locked="0" layoutInCell="1" allowOverlap="1" relativeHeight="19">
                <wp:simplePos x="0" y="0"/>
                <wp:positionH relativeFrom="margin">
                  <wp:align>center</wp:align>
                </wp:positionH>
                <wp:positionV relativeFrom="paragraph">
                  <wp:posOffset>-165735</wp:posOffset>
                </wp:positionV>
                <wp:extent cx="9601200" cy="361950"/>
                <wp:effectExtent l="0" t="0" r="0" b="0"/>
                <wp:wrapNone/>
                <wp:docPr id="17" name="Frame7"/>
                <a:graphic xmlns:a="http://schemas.openxmlformats.org/drawingml/2006/main">
                  <a:graphicData uri="http://schemas.microsoft.com/office/word/2010/wordprocessingShape">
                    <wps:wsp>
                      <wps:cNvSpPr txBox="1"/>
                      <wps:spPr>
                        <a:xfrm>
                          <a:off x="0" y="0"/>
                          <a:ext cx="9601200" cy="361950"/>
                        </a:xfrm>
                        <a:prstGeom prst="rect"/>
                        <a:solidFill>
                          <a:srgbClr val="FFFFFF"/>
                        </a:solidFill>
                      </wps:spPr>
                      <wps:txbx>
                        <w:txbxContent>
                          <w:p>
                            <w:pPr>
                              <w:pStyle w:val="FrameContents"/>
                              <w:shd w:fill="B72621" w:val="clear"/>
                              <w:spacing w:before="0" w:after="200"/>
                              <w:rPr>
                                <w:rFonts w:cs="Calibri"/>
                                <w:b/>
                                <w:b/>
                                <w:color w:val="FFFFFF"/>
                                <w:sz w:val="28"/>
                                <w:szCs w:val="24"/>
                              </w:rPr>
                            </w:pPr>
                            <w:r>
                              <w:rPr>
                                <w:rFonts w:cs="Calibri"/>
                                <w:b/>
                                <w:color w:val="FFFFFF"/>
                                <w:sz w:val="28"/>
                                <w:szCs w:val="24"/>
                              </w:rPr>
                              <w:t>About the Role</w:t>
                            </w:r>
                          </w:p>
                        </w:txbxContent>
                      </wps:txbx>
                      <wps:bodyPr anchor="t" lIns="92075" tIns="46355" rIns="92075" bIns="46355">
                        <a:noAutofit/>
                      </wps:bodyPr>
                    </wps:wsp>
                  </a:graphicData>
                </a:graphic>
              </wp:anchor>
            </w:drawing>
          </mc:Choice>
          <mc:Fallback>
            <w:pict>
              <v:rect fillcolor="#FFFFFF" style="position:absolute;rotation:0;width:756pt;height:28.5pt;mso-wrap-distance-left:0pt;mso-wrap-distance-right:1.5pt;mso-wrap-distance-top:5.7pt;mso-wrap-distance-bottom:5.7pt;margin-top:-13.05pt;mso-position-vertical-relative:text;margin-left:-29.05pt;mso-position-horizontal:center;mso-position-horizontal-relative:margin">
                <v:textbox inset="0.100694444444444in,0.0506944444444444in,0.100694444444444in,0.0506944444444444in">
                  <w:txbxContent>
                    <w:p>
                      <w:pPr>
                        <w:pStyle w:val="FrameContents"/>
                        <w:shd w:fill="B72621" w:val="clear"/>
                        <w:spacing w:before="0" w:after="200"/>
                        <w:rPr>
                          <w:rFonts w:cs="Calibri"/>
                          <w:b/>
                          <w:b/>
                          <w:color w:val="FFFFFF"/>
                          <w:sz w:val="28"/>
                          <w:szCs w:val="24"/>
                        </w:rPr>
                      </w:pPr>
                      <w:r>
                        <w:rPr>
                          <w:rFonts w:cs="Calibri"/>
                          <w:b/>
                          <w:color w:val="FFFFFF"/>
                          <w:sz w:val="28"/>
                          <w:szCs w:val="24"/>
                        </w:rPr>
                        <w:t>About the Role</w:t>
                      </w:r>
                    </w:p>
                  </w:txbxContent>
                </v:textbox>
              </v:rect>
            </w:pict>
          </mc:Fallback>
        </mc:AlternateContent>
      </w:r>
    </w:p>
    <w:tbl>
      <w:tblPr>
        <w:tblW w:w="15036" w:type="dxa"/>
        <w:jc w:val="left"/>
        <w:tblInd w:w="-577" w:type="dxa"/>
        <w:tblCellMar>
          <w:top w:w="0" w:type="dxa"/>
          <w:left w:w="108" w:type="dxa"/>
          <w:bottom w:w="0" w:type="dxa"/>
          <w:right w:w="108" w:type="dxa"/>
        </w:tblCellMar>
      </w:tblPr>
      <w:tblGrid>
        <w:gridCol w:w="15036"/>
      </w:tblGrid>
      <w:tr>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200"/>
              <w:jc w:val="both"/>
              <w:rPr>
                <w:rFonts w:cs="Calibri"/>
                <w:sz w:val="24"/>
              </w:rPr>
            </w:pPr>
            <w:r>
              <w:rPr>
                <w:rFonts w:cs="Calibri"/>
                <w:sz w:val="24"/>
              </w:rPr>
              <w:t>This Role Profile outlines the key tasks you will be expected to perform to give you an understanding of a typical day and the key activities that you will be expected to deliver or contribute to the delivery of.</w:t>
            </w:r>
          </w:p>
          <w:p>
            <w:pPr>
              <w:pStyle w:val="Normal"/>
              <w:spacing w:lineRule="auto" w:line="276" w:before="0" w:after="200"/>
              <w:jc w:val="both"/>
              <w:rPr>
                <w:rFonts w:cs="Calibri"/>
                <w:sz w:val="24"/>
              </w:rPr>
            </w:pPr>
            <w:r>
              <w:rPr>
                <w:rFonts w:cs="Calibri"/>
                <w:sz w:val="24"/>
              </w:rPr>
              <w:t>The ‘About You’ section explores what qualifications, experience, skills and knowledge you will need for the role.</w:t>
            </w:r>
          </w:p>
          <w:p>
            <w:pPr>
              <w:pStyle w:val="Normal"/>
              <w:spacing w:lineRule="auto" w:line="276" w:before="0" w:after="200"/>
              <w:jc w:val="both"/>
              <w:rPr>
                <w:rFonts w:cs="Calibri"/>
                <w:sz w:val="24"/>
              </w:rPr>
            </w:pPr>
            <w:r>
              <w:rPr>
                <w:rFonts w:cs="Calibri"/>
                <w:sz w:val="24"/>
              </w:rPr>
              <w:t>We are a values-based organisation and you will need to reflect our values, as well as the requirements in ‘About You’ in your application.</w:t>
            </w:r>
          </w:p>
        </w:tc>
      </w:tr>
      <w:tr>
        <w:trPr>
          <w:trHeight w:val="1125" w:hRule="atLeast"/>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cs="Calibri"/>
                <w:b/>
                <w:b/>
                <w:sz w:val="24"/>
                <w:szCs w:val="24"/>
              </w:rPr>
            </w:pPr>
            <w:r>
              <w:rPr>
                <w:rFonts w:cs="Calibri"/>
                <w:b/>
                <w:sz w:val="24"/>
                <w:szCs w:val="24"/>
              </w:rPr>
            </w:r>
          </w:p>
          <w:p>
            <w:pPr>
              <w:pStyle w:val="Normal"/>
              <w:spacing w:lineRule="auto" w:line="240" w:before="0" w:after="0"/>
              <w:ind w:left="567" w:right="0" w:hanging="567"/>
              <w:jc w:val="both"/>
              <w:rPr/>
            </w:pPr>
            <w:r>
              <w:rPr>
                <w:rStyle w:val="HEADINGINLOWERCASE11PTBOLD"/>
                <w:rFonts w:cs="Calibri"/>
                <w:color w:val="auto"/>
                <w:sz w:val="24"/>
                <w:szCs w:val="24"/>
              </w:rPr>
              <w:t>Overview</w:t>
            </w:r>
          </w:p>
          <w:p>
            <w:pPr>
              <w:pStyle w:val="Normal"/>
              <w:spacing w:lineRule="auto" w:line="240" w:before="0" w:after="0"/>
              <w:ind w:left="567" w:right="0" w:hanging="567"/>
              <w:jc w:val="both"/>
              <w:rPr>
                <w:rFonts w:cs="Calibri"/>
                <w:color w:val="auto"/>
                <w:sz w:val="24"/>
                <w:szCs w:val="24"/>
              </w:rPr>
            </w:pPr>
            <w:r>
              <w:rPr>
                <w:rFonts w:cs="Calibri"/>
                <w:color w:val="auto"/>
                <w:sz w:val="24"/>
                <w:szCs w:val="24"/>
              </w:rPr>
            </w:r>
          </w:p>
          <w:p>
            <w:pPr>
              <w:pStyle w:val="Normal"/>
              <w:spacing w:lineRule="auto" w:line="240" w:before="0" w:after="0"/>
              <w:jc w:val="both"/>
              <w:rPr/>
            </w:pPr>
            <w:r>
              <w:rPr>
                <w:rStyle w:val="HEADINGINLOWERCASE11PTBOLD"/>
                <w:rFonts w:cs="Calibri"/>
                <w:b w:val="false"/>
                <w:color w:val="auto"/>
                <w:sz w:val="24"/>
                <w:szCs w:val="24"/>
              </w:rPr>
              <w:t xml:space="preserve">Trafford Youth Engagement Service provides a wide range of opportunities for young people to access support and information in a safe, non-judgmental, and confidential manner. </w:t>
            </w:r>
          </w:p>
          <w:p>
            <w:pPr>
              <w:pStyle w:val="Normal"/>
              <w:spacing w:lineRule="auto" w:line="240" w:before="0" w:after="0"/>
              <w:jc w:val="both"/>
              <w:rPr>
                <w:rFonts w:cs="Calibri"/>
                <w:b w:val="false"/>
                <w:b w:val="false"/>
                <w:color w:val="auto"/>
                <w:sz w:val="24"/>
                <w:szCs w:val="24"/>
              </w:rPr>
            </w:pPr>
            <w:r>
              <w:rPr>
                <w:rFonts w:cs="Calibri"/>
                <w:b w:val="false"/>
                <w:color w:val="auto"/>
                <w:sz w:val="24"/>
                <w:szCs w:val="24"/>
              </w:rPr>
            </w:r>
          </w:p>
          <w:p>
            <w:pPr>
              <w:pStyle w:val="Normal"/>
              <w:spacing w:lineRule="auto" w:line="240" w:before="0" w:after="0"/>
              <w:jc w:val="both"/>
              <w:rPr/>
            </w:pPr>
            <w:r>
              <w:rPr>
                <w:rStyle w:val="HEADINGINLOWERCASE11PTBOLD"/>
                <w:rFonts w:cs="Calibri"/>
                <w:b w:val="false"/>
                <w:color w:val="auto"/>
                <w:sz w:val="24"/>
                <w:szCs w:val="24"/>
              </w:rPr>
              <w:t>Bank Youth Workers co-ordinate and deliver casework, groupwork and project activities to young people aged 11-19 (up to 25 for young people with additional needs or who are care experienced). The role will include delivering youth work interventions in centre based and community settings. You will work in one or more of the following teams:</w:t>
            </w:r>
          </w:p>
          <w:p>
            <w:pPr>
              <w:pStyle w:val="Normal"/>
              <w:spacing w:lineRule="auto" w:line="240" w:before="0" w:after="0"/>
              <w:jc w:val="both"/>
              <w:rPr>
                <w:rFonts w:cs="Calibri"/>
                <w:b w:val="false"/>
                <w:b w:val="false"/>
                <w:color w:val="auto"/>
                <w:sz w:val="24"/>
                <w:szCs w:val="24"/>
              </w:rPr>
            </w:pPr>
            <w:r>
              <w:rPr>
                <w:rFonts w:cs="Calibri"/>
                <w:b w:val="false"/>
                <w:color w:val="auto"/>
                <w:sz w:val="24"/>
                <w:szCs w:val="24"/>
              </w:rPr>
            </w:r>
          </w:p>
          <w:p>
            <w:pPr>
              <w:pStyle w:val="ListParagraph"/>
              <w:numPr>
                <w:ilvl w:val="0"/>
                <w:numId w:val="11"/>
              </w:numPr>
              <w:spacing w:lineRule="auto" w:line="240" w:before="0" w:after="0"/>
              <w:contextualSpacing/>
              <w:jc w:val="both"/>
              <w:rPr/>
            </w:pPr>
            <w:r>
              <w:rPr>
                <w:rStyle w:val="HEADINGINLOWERCASE11PTBOLD"/>
                <w:rFonts w:cs="Calibri"/>
                <w:b w:val="false"/>
                <w:color w:val="auto"/>
                <w:sz w:val="24"/>
                <w:szCs w:val="24"/>
              </w:rPr>
              <w:t>Talkshop: Centre based and outreach delivery</w:t>
            </w:r>
          </w:p>
          <w:p>
            <w:pPr>
              <w:pStyle w:val="ListParagraph"/>
              <w:numPr>
                <w:ilvl w:val="0"/>
                <w:numId w:val="11"/>
              </w:numPr>
              <w:spacing w:lineRule="auto" w:line="240" w:before="0" w:after="0"/>
              <w:contextualSpacing/>
              <w:jc w:val="both"/>
              <w:rPr/>
            </w:pPr>
            <w:r>
              <w:rPr>
                <w:rStyle w:val="HEADINGINLOWERCASE11PTBOLD"/>
                <w:rFonts w:cs="Calibri"/>
                <w:b w:val="false"/>
                <w:color w:val="auto"/>
                <w:sz w:val="24"/>
                <w:szCs w:val="24"/>
              </w:rPr>
              <w:t>Street Talk: Detached and locality Youth Work</w:t>
            </w:r>
          </w:p>
          <w:p>
            <w:pPr>
              <w:pStyle w:val="ListParagraph"/>
              <w:numPr>
                <w:ilvl w:val="0"/>
                <w:numId w:val="11"/>
              </w:numPr>
              <w:spacing w:lineRule="auto" w:line="240" w:before="0" w:after="0"/>
              <w:contextualSpacing/>
              <w:jc w:val="both"/>
              <w:rPr/>
            </w:pPr>
            <w:r>
              <w:rPr>
                <w:rStyle w:val="HEADINGINLOWERCASE11PTBOLD"/>
                <w:rFonts w:cs="Calibri"/>
                <w:b w:val="false"/>
                <w:color w:val="auto"/>
                <w:sz w:val="24"/>
                <w:szCs w:val="24"/>
              </w:rPr>
              <w:t>Young Bumps and Butterflies: Young parents and parents to be groups</w:t>
            </w:r>
          </w:p>
          <w:p>
            <w:pPr>
              <w:pStyle w:val="Normal"/>
              <w:spacing w:lineRule="auto" w:line="240" w:before="0" w:after="0"/>
              <w:jc w:val="both"/>
              <w:rPr>
                <w:rFonts w:cs="Calibri"/>
                <w:b/>
                <w:b/>
                <w:sz w:val="24"/>
                <w:szCs w:val="24"/>
              </w:rPr>
            </w:pPr>
            <w:r>
              <w:rPr>
                <w:rFonts w:cs="Calibri"/>
                <w:b/>
                <w:sz w:val="24"/>
                <w:szCs w:val="24"/>
              </w:rPr>
            </w:r>
          </w:p>
          <w:p>
            <w:pPr>
              <w:pStyle w:val="Normal"/>
              <w:spacing w:lineRule="auto" w:line="240" w:before="0" w:after="0"/>
              <w:rPr>
                <w:rFonts w:cs="Calibri"/>
                <w:b/>
                <w:b/>
                <w:sz w:val="24"/>
                <w:szCs w:val="24"/>
              </w:rPr>
            </w:pPr>
            <w:r>
              <w:rPr>
                <w:rFonts w:cs="Calibri"/>
                <w:b/>
                <w:sz w:val="24"/>
                <w:szCs w:val="24"/>
              </w:rPr>
              <w:t>Your Main Priorities</w:t>
            </w:r>
          </w:p>
          <w:p>
            <w:pPr>
              <w:pStyle w:val="Normal"/>
              <w:spacing w:lineRule="auto" w:line="240" w:before="0" w:after="0"/>
              <w:rPr>
                <w:rFonts w:cs="Calibri"/>
                <w:bCs/>
                <w:sz w:val="24"/>
                <w:szCs w:val="24"/>
              </w:rPr>
            </w:pPr>
            <w:r>
              <w:rPr>
                <w:rFonts w:cs="Calibri"/>
                <w:bCs/>
                <w:sz w:val="24"/>
                <w:szCs w:val="24"/>
              </w:rPr>
            </w:r>
          </w:p>
          <w:p>
            <w:pPr>
              <w:pStyle w:val="ListParagraph"/>
              <w:numPr>
                <w:ilvl w:val="0"/>
                <w:numId w:val="10"/>
              </w:numPr>
              <w:spacing w:lineRule="auto" w:line="240" w:before="0" w:after="0"/>
              <w:contextualSpacing/>
              <w:rPr>
                <w:rFonts w:cs="Calibri"/>
                <w:bCs/>
                <w:sz w:val="24"/>
                <w:szCs w:val="24"/>
              </w:rPr>
            </w:pPr>
            <w:r>
              <w:rPr>
                <w:rFonts w:cs="Calibri"/>
                <w:bCs/>
                <w:sz w:val="24"/>
                <w:szCs w:val="24"/>
              </w:rPr>
              <w:t xml:space="preserve">Providing a range of universal and targeted support to young people with a range of needs from the Talkshop in Sale and other outreach locations throughout the borough including schools, community venues, etc. Delivery will include supporting universal advice, information, guidance (IAG), sexual health and young parents work as well as specific projects for young people. </w:t>
            </w:r>
          </w:p>
          <w:p>
            <w:pPr>
              <w:pStyle w:val="ListParagraph"/>
              <w:numPr>
                <w:ilvl w:val="0"/>
                <w:numId w:val="10"/>
              </w:numPr>
              <w:spacing w:lineRule="auto" w:line="240" w:before="0" w:after="0"/>
              <w:contextualSpacing/>
              <w:rPr>
                <w:rFonts w:cs="Calibri"/>
                <w:bCs/>
                <w:sz w:val="24"/>
                <w:szCs w:val="24"/>
              </w:rPr>
            </w:pPr>
            <w:r>
              <w:rPr>
                <w:rFonts w:cs="Calibri"/>
                <w:bCs/>
                <w:sz w:val="24"/>
                <w:szCs w:val="24"/>
              </w:rPr>
              <w:t xml:space="preserve">Supporting with specific caseloads of young people, helping them to improve their outcomes and providing informal education around any presenting issues. </w:t>
            </w:r>
          </w:p>
          <w:p>
            <w:pPr>
              <w:pStyle w:val="ListParagraph"/>
              <w:numPr>
                <w:ilvl w:val="0"/>
                <w:numId w:val="10"/>
              </w:numPr>
              <w:spacing w:lineRule="auto" w:line="240" w:before="0" w:after="0"/>
              <w:contextualSpacing/>
              <w:rPr>
                <w:rFonts w:cs="Calibri"/>
                <w:bCs/>
                <w:sz w:val="24"/>
                <w:szCs w:val="24"/>
              </w:rPr>
            </w:pPr>
            <w:r>
              <w:rPr>
                <w:rFonts w:cs="Calibri"/>
                <w:bCs/>
                <w:sz w:val="24"/>
                <w:szCs w:val="24"/>
              </w:rPr>
              <w:t xml:space="preserve">Working with community and statutory partners to deliver co-ordinated projects and interventions as part of a multi-agency team approach to delivering improved outcomes for young people. </w:t>
            </w:r>
          </w:p>
          <w:p>
            <w:pPr>
              <w:pStyle w:val="ListParagraph"/>
              <w:numPr>
                <w:ilvl w:val="0"/>
                <w:numId w:val="10"/>
              </w:numPr>
              <w:spacing w:lineRule="auto" w:line="240" w:before="0" w:after="0"/>
              <w:contextualSpacing/>
              <w:rPr>
                <w:rFonts w:cs="Calibri"/>
                <w:bCs/>
                <w:sz w:val="24"/>
                <w:szCs w:val="24"/>
              </w:rPr>
            </w:pPr>
            <w:r>
              <w:rPr>
                <w:rFonts w:cs="Calibri"/>
                <w:bCs/>
                <w:sz w:val="24"/>
                <w:szCs w:val="24"/>
              </w:rPr>
              <w:t xml:space="preserve">Supporting the local youth offer and work with voluntary, community and other groups to engage young people in their communities. </w:t>
            </w:r>
          </w:p>
          <w:p>
            <w:pPr>
              <w:pStyle w:val="Normal"/>
              <w:spacing w:lineRule="auto" w:line="240" w:before="0" w:after="0"/>
              <w:rPr>
                <w:rFonts w:cs="Calibri"/>
                <w:b/>
                <w:b/>
                <w:sz w:val="24"/>
                <w:szCs w:val="24"/>
              </w:rPr>
            </w:pPr>
            <w:r>
              <w:rPr>
                <w:rFonts w:cs="Calibri"/>
                <w:b/>
                <w:sz w:val="24"/>
                <w:szCs w:val="24"/>
              </w:rPr>
            </w:r>
          </w:p>
          <w:p>
            <w:pPr>
              <w:pStyle w:val="NormalWeb"/>
              <w:spacing w:lineRule="auto" w:line="240" w:before="0" w:after="0"/>
              <w:rPr>
                <w:rFonts w:ascii="Calibri" w:hAnsi="Calibri" w:cs="Calibri"/>
                <w:b/>
                <w:b/>
              </w:rPr>
            </w:pPr>
            <w:r>
              <w:rPr>
                <w:rFonts w:cs="Calibri" w:ascii="Calibri" w:hAnsi="Calibri"/>
                <w:b/>
              </w:rPr>
              <w:t>Key duties</w:t>
            </w:r>
          </w:p>
          <w:p>
            <w:pPr>
              <w:pStyle w:val="NormalWeb"/>
              <w:spacing w:lineRule="auto" w:line="240" w:before="0" w:after="0"/>
              <w:rPr>
                <w:rFonts w:ascii="Calibri" w:hAnsi="Calibri" w:cs="Calibri"/>
                <w:bCs/>
              </w:rPr>
            </w:pPr>
            <w:r>
              <w:rPr>
                <w:rFonts w:cs="Calibri" w:ascii="Calibri" w:hAnsi="Calibri"/>
                <w:bCs/>
              </w:rPr>
            </w:r>
          </w:p>
          <w:p>
            <w:pPr>
              <w:pStyle w:val="NormalWeb"/>
              <w:numPr>
                <w:ilvl w:val="0"/>
                <w:numId w:val="7"/>
              </w:numPr>
              <w:spacing w:lineRule="auto" w:line="240" w:before="0" w:after="0"/>
              <w:rPr>
                <w:rFonts w:ascii="Calibri" w:hAnsi="Calibri" w:cs="Calibri"/>
                <w:bCs/>
              </w:rPr>
            </w:pPr>
            <w:r>
              <w:rPr>
                <w:rFonts w:cs="Calibri" w:ascii="Calibri" w:hAnsi="Calibri"/>
                <w:bCs/>
              </w:rPr>
              <w:t>Providing general information advice and guidance (IAG) to young people via the Youth Engagement Service, both one to one and in groups at a range of suitable centres and outreach locations.</w:t>
            </w:r>
          </w:p>
          <w:p>
            <w:pPr>
              <w:pStyle w:val="NormalWeb"/>
              <w:numPr>
                <w:ilvl w:val="0"/>
                <w:numId w:val="7"/>
              </w:numPr>
              <w:spacing w:lineRule="auto" w:line="240" w:before="0" w:after="0"/>
              <w:rPr/>
            </w:pPr>
            <w:r>
              <w:rPr>
                <w:rFonts w:eastAsia="Calibri" w:cs="Calibri" w:ascii="Calibri" w:hAnsi="Calibri"/>
                <w:bCs/>
              </w:rPr>
              <w:t xml:space="preserve"> </w:t>
            </w:r>
            <w:r>
              <w:rPr>
                <w:rFonts w:cs="Calibri" w:ascii="Calibri" w:hAnsi="Calibri"/>
                <w:bCs/>
              </w:rPr>
              <w:t>Delivering a range of universal and targeted interventions to young people, including those in the following groups:</w:t>
            </w:r>
          </w:p>
          <w:p>
            <w:pPr>
              <w:pStyle w:val="ListParagraph"/>
              <w:numPr>
                <w:ilvl w:val="0"/>
                <w:numId w:val="8"/>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Children/young people who are NEET (Not in Education Training or Employment) or at risk of becoming NEET</w:t>
            </w:r>
          </w:p>
          <w:p>
            <w:pPr>
              <w:pStyle w:val="ListParagraph"/>
              <w:numPr>
                <w:ilvl w:val="0"/>
                <w:numId w:val="8"/>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Children/young people with mental health issues including deliberate self-harm</w:t>
            </w:r>
          </w:p>
          <w:p>
            <w:pPr>
              <w:pStyle w:val="ListParagraph"/>
              <w:numPr>
                <w:ilvl w:val="0"/>
                <w:numId w:val="8"/>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Young people who are homeless or at risk of family breakdown</w:t>
            </w:r>
          </w:p>
          <w:p>
            <w:pPr>
              <w:pStyle w:val="ListParagraph"/>
              <w:numPr>
                <w:ilvl w:val="0"/>
                <w:numId w:val="8"/>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Detached and locality youth work</w:t>
            </w:r>
          </w:p>
          <w:p>
            <w:pPr>
              <w:pStyle w:val="ListParagraph"/>
              <w:numPr>
                <w:ilvl w:val="0"/>
                <w:numId w:val="8"/>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Other groups or issue-based projects not listed above</w:t>
            </w:r>
          </w:p>
          <w:p>
            <w:pPr>
              <w:pStyle w:val="ListParagraph"/>
              <w:numPr>
                <w:ilvl w:val="0"/>
                <w:numId w:val="9"/>
              </w:numPr>
              <w:spacing w:lineRule="auto" w:line="240" w:before="0" w:after="0"/>
              <w:contextualSpacing/>
              <w:rPr/>
            </w:pPr>
            <w:r>
              <w:rPr>
                <w:rFonts w:cs="Calibri"/>
                <w:bCs/>
                <w:sz w:val="24"/>
                <w:szCs w:val="24"/>
              </w:rPr>
              <w:t>E</w:t>
            </w:r>
            <w:r>
              <w:rPr>
                <w:rFonts w:eastAsia="Times New Roman" w:cs="Calibri"/>
                <w:bCs/>
                <w:sz w:val="24"/>
                <w:szCs w:val="24"/>
                <w:lang w:eastAsia="en-GB"/>
              </w:rPr>
              <w:t>stablish</w:t>
            </w:r>
            <w:r>
              <w:rPr>
                <w:rFonts w:cs="Calibri"/>
                <w:bCs/>
                <w:sz w:val="24"/>
                <w:szCs w:val="24"/>
              </w:rPr>
              <w:t>ing</w:t>
            </w:r>
            <w:r>
              <w:rPr>
                <w:rFonts w:eastAsia="Times New Roman" w:cs="Calibri"/>
                <w:bCs/>
                <w:sz w:val="24"/>
                <w:szCs w:val="24"/>
                <w:lang w:eastAsia="en-GB"/>
              </w:rPr>
              <w:t xml:space="preserve"> and maintain</w:t>
            </w:r>
            <w:r>
              <w:rPr>
                <w:rFonts w:cs="Calibri"/>
                <w:bCs/>
                <w:sz w:val="24"/>
                <w:szCs w:val="24"/>
              </w:rPr>
              <w:t>ing</w:t>
            </w:r>
            <w:r>
              <w:rPr>
                <w:rFonts w:eastAsia="Times New Roman" w:cs="Calibri"/>
                <w:bCs/>
                <w:sz w:val="24"/>
                <w:szCs w:val="24"/>
                <w:lang w:eastAsia="en-GB"/>
              </w:rPr>
              <w:t xml:space="preserve"> relationships with colleagues and young people, and working in partnership with other agencies to co-deliver specific projects and receive/make suitable referrals.</w:t>
            </w:r>
          </w:p>
          <w:p>
            <w:pPr>
              <w:pStyle w:val="ListParagraph"/>
              <w:numPr>
                <w:ilvl w:val="0"/>
                <w:numId w:val="9"/>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Supporting with caseloads, contributing to staff meetings, attending multi agency meetings and monitoring/recording progress towards outcomes.</w:t>
            </w:r>
          </w:p>
          <w:p>
            <w:pPr>
              <w:pStyle w:val="ListParagraph"/>
              <w:numPr>
                <w:ilvl w:val="0"/>
                <w:numId w:val="9"/>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Delivering sex and relationships education and supporting partnership delivery of young peoples’ sexual health clinics at various venues across the borough.</w:t>
            </w:r>
          </w:p>
          <w:p>
            <w:pPr>
              <w:pStyle w:val="ListParagraph"/>
              <w:numPr>
                <w:ilvl w:val="0"/>
                <w:numId w:val="9"/>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Supporting delivery of the young parents (Butterflies) and pregnant teenager (Young bumps) groups within Trafford.</w:t>
            </w:r>
          </w:p>
          <w:p>
            <w:pPr>
              <w:pStyle w:val="ListParagraph"/>
              <w:numPr>
                <w:ilvl w:val="0"/>
                <w:numId w:val="9"/>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 xml:space="preserve">Supporting and developing partnership delivery for young people who are LGBTQ+ (Lesbian, Gay, Bisexual, Transgender or </w:t>
            </w:r>
          </w:p>
          <w:p>
            <w:pPr>
              <w:pStyle w:val="Normal"/>
              <w:spacing w:lineRule="auto" w:line="240" w:before="0" w:after="0"/>
              <w:ind w:left="744" w:right="0" w:hanging="0"/>
              <w:rPr>
                <w:rFonts w:eastAsia="Times New Roman" w:cs="Calibri"/>
                <w:bCs/>
                <w:sz w:val="24"/>
                <w:szCs w:val="24"/>
                <w:lang w:eastAsia="en-GB"/>
              </w:rPr>
            </w:pPr>
            <w:r>
              <w:rPr>
                <w:rFonts w:eastAsia="Times New Roman" w:cs="Calibri"/>
                <w:bCs/>
                <w:sz w:val="24"/>
                <w:szCs w:val="24"/>
                <w:lang w:eastAsia="en-GB"/>
              </w:rPr>
              <w:t>Questioning).</w:t>
            </w:r>
          </w:p>
          <w:p>
            <w:pPr>
              <w:pStyle w:val="ListParagraph"/>
              <w:numPr>
                <w:ilvl w:val="0"/>
                <w:numId w:val="3"/>
              </w:numPr>
              <w:spacing w:lineRule="auto" w:line="240" w:before="0" w:after="0"/>
              <w:contextualSpacing/>
              <w:rPr/>
            </w:pPr>
            <w:r>
              <w:rPr>
                <w:rFonts w:eastAsia="Times New Roman" w:cs="Calibri"/>
                <w:bCs/>
                <w:sz w:val="24"/>
                <w:szCs w:val="24"/>
                <w:lang w:eastAsia="en-GB"/>
              </w:rPr>
              <w:t xml:space="preserve">Carrying out administration and reception duties, including recording all interventions on the relevant databases, monitoring systems, collation of data, and reporting information as needed. </w:t>
            </w:r>
            <w:r>
              <w:rPr>
                <w:rFonts w:cs="Calibri"/>
                <w:bCs/>
                <w:sz w:val="24"/>
                <w:szCs w:val="24"/>
              </w:rPr>
              <w:t>Casework is audited to ensure that it is in line with Children’s services.</w:t>
            </w:r>
          </w:p>
          <w:p>
            <w:pPr>
              <w:pStyle w:val="ListParagraph"/>
              <w:numPr>
                <w:ilvl w:val="0"/>
                <w:numId w:val="3"/>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Proactively manage the behaviour of young people accessing services to support a safe and inclusive environment for all young people and staff.</w:t>
            </w:r>
          </w:p>
          <w:p>
            <w:pPr>
              <w:pStyle w:val="ListParagraph"/>
              <w:numPr>
                <w:ilvl w:val="0"/>
                <w:numId w:val="3"/>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Working to Youth Engagement Service (YES) and Children’s Services values, policies and procedures, including safeguarding, social media policy, health and safety, etc.</w:t>
            </w:r>
          </w:p>
          <w:p>
            <w:pPr>
              <w:pStyle w:val="ListParagraph"/>
              <w:numPr>
                <w:ilvl w:val="0"/>
                <w:numId w:val="3"/>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Achieving targets and outcomes identified in annual performance reviews and regular management supervision sessions.</w:t>
            </w:r>
          </w:p>
          <w:p>
            <w:pPr>
              <w:pStyle w:val="ListParagraph"/>
              <w:numPr>
                <w:ilvl w:val="0"/>
                <w:numId w:val="3"/>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Supporting and mentoring volunteers.</w:t>
            </w:r>
          </w:p>
          <w:p>
            <w:pPr>
              <w:pStyle w:val="ListParagraph"/>
              <w:numPr>
                <w:ilvl w:val="0"/>
                <w:numId w:val="3"/>
              </w:numPr>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t>Carrying out any other duties commensurate with the grade of this post as required.</w:t>
            </w:r>
          </w:p>
          <w:p>
            <w:pPr>
              <w:pStyle w:val="ListParagraph"/>
              <w:spacing w:lineRule="auto" w:line="240" w:before="0" w:after="0"/>
              <w:contextualSpacing/>
              <w:rPr>
                <w:rFonts w:eastAsia="Times New Roman" w:cs="Calibri"/>
                <w:bCs/>
                <w:sz w:val="24"/>
                <w:szCs w:val="24"/>
                <w:lang w:eastAsia="en-GB"/>
              </w:rPr>
            </w:pPr>
            <w:r>
              <w:rPr>
                <w:rFonts w:eastAsia="Times New Roman" w:cs="Calibri"/>
                <w:bCs/>
                <w:sz w:val="24"/>
                <w:szCs w:val="24"/>
                <w:lang w:eastAsia="en-GB"/>
              </w:rPr>
            </w:r>
          </w:p>
        </w:tc>
      </w:tr>
    </w:tbl>
    <w:p>
      <w:pPr>
        <w:pStyle w:val="Normal"/>
        <w:rPr>
          <w:sz w:val="24"/>
          <w:u w:val="single"/>
        </w:rPr>
      </w:pPr>
      <w:r>
        <w:rPr>
          <w:sz w:val="24"/>
          <w:u w:val="single"/>
        </w:rPr>
        <mc:AlternateContent>
          <mc:Choice Requires="wps">
            <w:drawing>
              <wp:anchor behindDoc="0" distT="0" distB="0" distL="114935" distR="114935" simplePos="0" locked="0" layoutInCell="1" allowOverlap="1" relativeHeight="5">
                <wp:simplePos x="0" y="0"/>
                <wp:positionH relativeFrom="column">
                  <wp:posOffset>-381000</wp:posOffset>
                </wp:positionH>
                <wp:positionV relativeFrom="paragraph">
                  <wp:posOffset>182880</wp:posOffset>
                </wp:positionV>
                <wp:extent cx="9589135" cy="361950"/>
                <wp:effectExtent l="0" t="0" r="0" b="0"/>
                <wp:wrapNone/>
                <wp:docPr id="18" name=""/>
                <a:graphic xmlns:a="http://schemas.openxmlformats.org/drawingml/2006/main">
                  <a:graphicData uri="http://schemas.microsoft.com/office/word/2010/wordprocessingShape">
                    <wps:wsp>
                      <wps:cNvSpPr txBox="1"/>
                      <wps:spPr>
                        <a:xfrm>
                          <a:off x="0" y="0"/>
                          <a:ext cx="9588600" cy="36144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30pt;margin-top:14.4pt;width:754.95pt;height:28.4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w:r>
      <w:r>
        <mc:AlternateContent>
          <mc:Choice Requires="wps">
            <w:drawing>
              <wp:anchor behindDoc="0" distT="72390" distB="72390" distL="0" distR="12700" simplePos="0" locked="0" layoutInCell="1" allowOverlap="1" relativeHeight="20">
                <wp:simplePos x="0" y="0"/>
                <wp:positionH relativeFrom="column">
                  <wp:posOffset>-381000</wp:posOffset>
                </wp:positionH>
                <wp:positionV relativeFrom="paragraph">
                  <wp:posOffset>182880</wp:posOffset>
                </wp:positionV>
                <wp:extent cx="9588500" cy="361315"/>
                <wp:effectExtent l="0" t="0" r="0" b="0"/>
                <wp:wrapNone/>
                <wp:docPr id="19" name="Frame8"/>
                <a:graphic xmlns:a="http://schemas.openxmlformats.org/drawingml/2006/main">
                  <a:graphicData uri="http://schemas.microsoft.com/office/word/2010/wordprocessingShape">
                    <wps:wsp>
                      <wps:cNvSpPr txBox="1"/>
                      <wps:spPr>
                        <a:xfrm>
                          <a:off x="0" y="0"/>
                          <a:ext cx="9588500" cy="361315"/>
                        </a:xfrm>
                        <a:prstGeom prst="rect"/>
                        <a:solidFill>
                          <a:srgbClr val="FFFFFF"/>
                        </a:solidFill>
                      </wps:spPr>
                      <wps:txbx>
                        <w:txbxContent>
                          <w:p>
                            <w:pPr>
                              <w:pStyle w:val="FrameContents"/>
                              <w:spacing w:before="0" w:after="200"/>
                              <w:rPr>
                                <w:rFonts w:cs="Calibri"/>
                                <w:b/>
                                <w:b/>
                                <w:color w:val="FFFFFF"/>
                                <w:sz w:val="28"/>
                                <w:szCs w:val="24"/>
                              </w:rPr>
                            </w:pPr>
                            <w:r>
                              <w:rPr>
                                <w:rFonts w:cs="Calibri"/>
                                <w:b/>
                                <w:color w:val="FFFFFF"/>
                                <w:sz w:val="28"/>
                                <w:szCs w:val="24"/>
                              </w:rPr>
                              <w:t>About You</w:t>
                            </w:r>
                          </w:p>
                        </w:txbxContent>
                      </wps:txbx>
                      <wps:bodyPr anchor="t" lIns="92075" tIns="46355" rIns="92075" bIns="46355">
                        <a:noAutofit/>
                      </wps:bodyPr>
                    </wps:wsp>
                  </a:graphicData>
                </a:graphic>
              </wp:anchor>
            </w:drawing>
          </mc:Choice>
          <mc:Fallback>
            <w:pict>
              <v:rect fillcolor="#FFFFFF" style="position:absolute;rotation:0;width:755pt;height:28.45pt;mso-wrap-distance-left:0pt;mso-wrap-distance-right:1pt;mso-wrap-distance-top:5.7pt;mso-wrap-distance-bottom:5.7pt;margin-top:14.4pt;mso-position-vertical-relative:text;margin-left:-30pt;mso-position-horizontal-relative:text">
                <v:textbox inset="0.100694444444444in,0.0506944444444444in,0.100694444444444in,0.0506944444444444in">
                  <w:txbxContent>
                    <w:p>
                      <w:pPr>
                        <w:pStyle w:val="FrameContents"/>
                        <w:spacing w:before="0" w:after="200"/>
                        <w:rPr>
                          <w:rFonts w:cs="Calibri"/>
                          <w:b/>
                          <w:b/>
                          <w:color w:val="FFFFFF"/>
                          <w:sz w:val="28"/>
                          <w:szCs w:val="24"/>
                        </w:rPr>
                      </w:pPr>
                      <w:r>
                        <w:rPr>
                          <w:rFonts w:cs="Calibri"/>
                          <w:b/>
                          <w:color w:val="FFFFFF"/>
                          <w:sz w:val="28"/>
                          <w:szCs w:val="24"/>
                        </w:rPr>
                        <w:t>About You</w:t>
                      </w:r>
                    </w:p>
                  </w:txbxContent>
                </v:textbox>
              </v:rect>
            </w:pict>
          </mc:Fallback>
        </mc:AlternateContent>
      </w:r>
    </w:p>
    <w:p>
      <w:pPr>
        <w:pStyle w:val="Normal"/>
        <w:rPr>
          <w:sz w:val="24"/>
          <w:u w:val="single"/>
        </w:rPr>
      </w:pPr>
      <w:r>
        <w:rPr>
          <w:sz w:val="24"/>
          <w:u w:val="single"/>
        </w:rPr>
      </w:r>
    </w:p>
    <w:tbl>
      <w:tblPr>
        <w:tblW w:w="15036" w:type="dxa"/>
        <w:jc w:val="left"/>
        <w:tblInd w:w="-577" w:type="dxa"/>
        <w:tblCellMar>
          <w:top w:w="0" w:type="dxa"/>
          <w:left w:w="108" w:type="dxa"/>
          <w:bottom w:w="0" w:type="dxa"/>
          <w:right w:w="108" w:type="dxa"/>
        </w:tblCellMar>
      </w:tblPr>
      <w:tblGrid>
        <w:gridCol w:w="15036"/>
      </w:tblGrid>
      <w:tr>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alibri" w:hAnsi="Calibri" w:cs="Calibri"/>
                <w:b/>
                <w:b/>
              </w:rPr>
            </w:pPr>
            <w:r>
              <w:rPr>
                <w:rFonts w:cs="Calibri" w:ascii="Calibri" w:hAnsi="Calibri"/>
                <w:b/>
              </w:rPr>
              <w:t>Qualifications and Professional Development</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2"/>
              </w:numPr>
              <w:spacing w:lineRule="auto" w:line="240" w:before="0" w:after="0"/>
              <w:rPr>
                <w:rFonts w:ascii="Calibri" w:hAnsi="Calibri" w:cs="Calibri"/>
                <w:bCs/>
              </w:rPr>
            </w:pPr>
            <w:r>
              <w:rPr>
                <w:rFonts w:cs="Calibri" w:ascii="Calibri" w:hAnsi="Calibri"/>
                <w:bCs/>
              </w:rPr>
              <w:t>Vocational Youth Work or Children and Young Peoples qualifications (including careers guidance, youth justice, etc.) to a minimum of NVQ Level 3 or above, or equivalent relevant professional qualification</w:t>
            </w:r>
          </w:p>
          <w:p>
            <w:pPr>
              <w:pStyle w:val="NormalWeb"/>
              <w:numPr>
                <w:ilvl w:val="0"/>
                <w:numId w:val="2"/>
              </w:numPr>
              <w:spacing w:lineRule="auto" w:line="240" w:before="0" w:after="0"/>
              <w:rPr>
                <w:rFonts w:ascii="Calibri" w:hAnsi="Calibri" w:cs="Calibri"/>
                <w:bCs/>
              </w:rPr>
            </w:pPr>
            <w:r>
              <w:rPr>
                <w:rFonts w:cs="Calibri" w:ascii="Calibri" w:hAnsi="Calibri"/>
                <w:bCs/>
              </w:rPr>
              <w:t>Basic safeguarding training</w:t>
            </w:r>
          </w:p>
          <w:p>
            <w:pPr>
              <w:pStyle w:val="NormalWeb"/>
              <w:spacing w:lineRule="auto" w:line="240" w:before="0" w:after="0"/>
              <w:ind w:left="720" w:right="0" w:hanging="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t>Experience and Knowledge</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6"/>
              </w:numPr>
              <w:spacing w:lineRule="auto" w:line="240" w:before="0" w:after="0"/>
              <w:rPr>
                <w:rFonts w:ascii="Calibri" w:hAnsi="Calibri" w:cs="Calibri"/>
                <w:lang w:val="en"/>
              </w:rPr>
            </w:pPr>
            <w:r>
              <w:rPr>
                <w:rFonts w:cs="Calibri" w:ascii="Calibri" w:hAnsi="Calibri"/>
                <w:lang w:val="en"/>
              </w:rPr>
              <w:t>Experience of working (paid/unpaid) with young people</w:t>
            </w:r>
          </w:p>
          <w:p>
            <w:pPr>
              <w:pStyle w:val="NormalWeb"/>
              <w:numPr>
                <w:ilvl w:val="0"/>
                <w:numId w:val="6"/>
              </w:numPr>
              <w:spacing w:lineRule="auto" w:line="240" w:before="0" w:after="0"/>
              <w:rPr>
                <w:rFonts w:ascii="Calibri" w:hAnsi="Calibri" w:cs="Calibri"/>
                <w:lang w:val="en"/>
              </w:rPr>
            </w:pPr>
            <w:r>
              <w:rPr>
                <w:rFonts w:cs="Calibri" w:ascii="Calibri" w:hAnsi="Calibri"/>
                <w:lang w:val="en"/>
              </w:rPr>
              <w:t>Inter-agency and partnership work</w:t>
            </w:r>
          </w:p>
          <w:p>
            <w:pPr>
              <w:pStyle w:val="NormalWeb"/>
              <w:numPr>
                <w:ilvl w:val="0"/>
                <w:numId w:val="6"/>
              </w:numPr>
              <w:spacing w:lineRule="auto" w:line="240" w:before="0" w:after="0"/>
              <w:rPr>
                <w:rFonts w:ascii="Calibri" w:hAnsi="Calibri" w:cs="Calibri"/>
                <w:lang w:val="en"/>
              </w:rPr>
            </w:pPr>
            <w:r>
              <w:rPr>
                <w:rFonts w:cs="Calibri" w:ascii="Calibri" w:hAnsi="Calibri"/>
                <w:lang w:val="en"/>
              </w:rPr>
              <w:t>Experience of supporting young people who are at risk of being exploited/abused</w:t>
            </w:r>
          </w:p>
          <w:p>
            <w:pPr>
              <w:pStyle w:val="NormalWeb"/>
              <w:numPr>
                <w:ilvl w:val="0"/>
                <w:numId w:val="6"/>
              </w:numPr>
              <w:spacing w:lineRule="auto" w:line="240" w:before="0" w:after="0"/>
              <w:rPr>
                <w:rFonts w:ascii="Calibri" w:hAnsi="Calibri" w:cs="Calibri"/>
                <w:lang w:val="en"/>
              </w:rPr>
            </w:pPr>
            <w:r>
              <w:rPr>
                <w:rFonts w:cs="Calibri" w:ascii="Calibri" w:hAnsi="Calibri"/>
                <w:lang w:val="en"/>
              </w:rPr>
              <w:t>Experience providing general advice and information and referring to services</w:t>
            </w:r>
          </w:p>
          <w:p>
            <w:pPr>
              <w:pStyle w:val="NormalWeb"/>
              <w:numPr>
                <w:ilvl w:val="0"/>
                <w:numId w:val="6"/>
              </w:numPr>
              <w:spacing w:lineRule="auto" w:line="240" w:before="0" w:after="0"/>
              <w:rPr>
                <w:rFonts w:ascii="Calibri" w:hAnsi="Calibri" w:cs="Calibri"/>
                <w:lang w:val="en"/>
              </w:rPr>
            </w:pPr>
            <w:r>
              <w:rPr>
                <w:rFonts w:cs="Calibri" w:ascii="Calibri" w:hAnsi="Calibri"/>
                <w:lang w:val="en"/>
              </w:rPr>
              <w:t>Using Microsoft office and/or database applications to record activity</w:t>
            </w:r>
          </w:p>
          <w:p>
            <w:pPr>
              <w:pStyle w:val="NormalWeb"/>
              <w:numPr>
                <w:ilvl w:val="0"/>
                <w:numId w:val="6"/>
              </w:numPr>
              <w:spacing w:lineRule="auto" w:line="240" w:before="0" w:after="0"/>
              <w:rPr>
                <w:rFonts w:ascii="Calibri" w:hAnsi="Calibri" w:cs="Calibri"/>
                <w:lang w:val="en"/>
              </w:rPr>
            </w:pPr>
            <w:r>
              <w:rPr>
                <w:rFonts w:cs="Calibri" w:ascii="Calibri" w:hAnsi="Calibri"/>
                <w:lang w:val="en"/>
              </w:rPr>
              <w:t>Experience of challenging inappropriate behaviours in youth work or public settings and understanding adolescent issues</w:t>
            </w:r>
          </w:p>
          <w:p>
            <w:pPr>
              <w:pStyle w:val="NormalWeb"/>
              <w:numPr>
                <w:ilvl w:val="0"/>
                <w:numId w:val="6"/>
              </w:numPr>
              <w:spacing w:lineRule="auto" w:line="240" w:before="0" w:after="0"/>
              <w:rPr>
                <w:rFonts w:ascii="Calibri" w:hAnsi="Calibri" w:cs="Calibri"/>
                <w:lang w:val="en"/>
              </w:rPr>
            </w:pPr>
            <w:r>
              <w:rPr>
                <w:rFonts w:cs="Calibri" w:ascii="Calibri" w:hAnsi="Calibri"/>
                <w:lang w:val="en"/>
              </w:rPr>
              <w:t>Knowledge and understanding of the issues affecting young people and support available</w:t>
            </w:r>
          </w:p>
          <w:p>
            <w:pPr>
              <w:pStyle w:val="NormalWeb"/>
              <w:numPr>
                <w:ilvl w:val="0"/>
                <w:numId w:val="6"/>
              </w:numPr>
              <w:spacing w:lineRule="auto" w:line="240" w:before="0" w:after="0"/>
              <w:rPr>
                <w:rFonts w:ascii="Calibri" w:hAnsi="Calibri" w:cs="Calibri"/>
                <w:lang w:val="en"/>
              </w:rPr>
            </w:pPr>
            <w:r>
              <w:rPr>
                <w:rFonts w:cs="Calibri" w:ascii="Calibri" w:hAnsi="Calibri"/>
                <w:lang w:val="en"/>
              </w:rPr>
              <w:t>Knowledge of:</w:t>
            </w:r>
          </w:p>
          <w:p>
            <w:pPr>
              <w:pStyle w:val="NormalWeb"/>
              <w:numPr>
                <w:ilvl w:val="1"/>
                <w:numId w:val="6"/>
              </w:numPr>
              <w:spacing w:lineRule="auto" w:line="240" w:before="0" w:after="0"/>
              <w:rPr>
                <w:rFonts w:ascii="Calibri" w:hAnsi="Calibri" w:cs="Calibri"/>
                <w:lang w:val="en"/>
              </w:rPr>
            </w:pPr>
            <w:r>
              <w:rPr>
                <w:rFonts w:cs="Calibri" w:ascii="Calibri" w:hAnsi="Calibri"/>
                <w:lang w:val="en"/>
              </w:rPr>
              <w:t>Child protection/safeguarding issues</w:t>
            </w:r>
          </w:p>
          <w:p>
            <w:pPr>
              <w:pStyle w:val="NormalWeb"/>
              <w:numPr>
                <w:ilvl w:val="1"/>
                <w:numId w:val="6"/>
              </w:numPr>
              <w:spacing w:lineRule="auto" w:line="240" w:before="0" w:after="0"/>
              <w:rPr>
                <w:rFonts w:ascii="Calibri" w:hAnsi="Calibri" w:cs="Calibri"/>
                <w:lang w:val="en"/>
              </w:rPr>
            </w:pPr>
            <w:r>
              <w:rPr>
                <w:rFonts w:cs="Calibri" w:ascii="Calibri" w:hAnsi="Calibri"/>
                <w:lang w:val="en"/>
              </w:rPr>
              <w:t>Health and safety issues relating to working with children and young people</w:t>
            </w:r>
          </w:p>
          <w:p>
            <w:pPr>
              <w:pStyle w:val="NormalWeb"/>
              <w:numPr>
                <w:ilvl w:val="1"/>
                <w:numId w:val="6"/>
              </w:numPr>
              <w:spacing w:lineRule="auto" w:line="240" w:before="0" w:after="0"/>
              <w:rPr>
                <w:rFonts w:ascii="Calibri" w:hAnsi="Calibri" w:cs="Calibri"/>
                <w:lang w:val="en"/>
              </w:rPr>
            </w:pPr>
            <w:r>
              <w:rPr>
                <w:rFonts w:cs="Calibri" w:ascii="Calibri" w:hAnsi="Calibri"/>
                <w:lang w:val="en"/>
              </w:rPr>
              <w:t>Equality of opportunity legislation and practice</w:t>
            </w:r>
          </w:p>
          <w:p>
            <w:pPr>
              <w:pStyle w:val="NormalWeb"/>
              <w:numPr>
                <w:ilvl w:val="1"/>
                <w:numId w:val="6"/>
              </w:numPr>
              <w:spacing w:lineRule="auto" w:line="240" w:before="0" w:after="0"/>
              <w:rPr>
                <w:rFonts w:ascii="Calibri" w:hAnsi="Calibri" w:cs="Calibri"/>
                <w:lang w:val="en"/>
              </w:rPr>
            </w:pPr>
            <w:r>
              <w:rPr>
                <w:rFonts w:cs="Calibri" w:ascii="Calibri" w:hAnsi="Calibri"/>
                <w:lang w:val="en"/>
              </w:rPr>
              <w:t xml:space="preserve">General Data Protection Regulation (GDPR) principles and requirements </w:t>
            </w:r>
          </w:p>
          <w:p>
            <w:pPr>
              <w:pStyle w:val="NormalWeb"/>
              <w:spacing w:lineRule="auto" w:line="240" w:before="0" w:after="0"/>
              <w:rPr>
                <w:rFonts w:ascii="Calibri" w:hAnsi="Calibri" w:cs="Calibri"/>
                <w:lang w:val="en"/>
              </w:rPr>
            </w:pPr>
            <w:r>
              <w:rPr>
                <w:rFonts w:cs="Calibri" w:ascii="Calibri" w:hAnsi="Calibri"/>
                <w:lang w:val="en"/>
              </w:rPr>
            </w:r>
          </w:p>
          <w:p>
            <w:pPr>
              <w:pStyle w:val="NormalWeb"/>
              <w:spacing w:lineRule="auto" w:line="240" w:before="0" w:after="0"/>
              <w:rPr>
                <w:rFonts w:ascii="Calibri" w:hAnsi="Calibri" w:cs="Calibri"/>
                <w:b/>
                <w:b/>
              </w:rPr>
            </w:pPr>
            <w:r>
              <w:rPr>
                <w:rFonts w:cs="Calibri" w:ascii="Calibri" w:hAnsi="Calibri"/>
                <w:b/>
              </w:rPr>
              <w:t>Skills and abilities</w:t>
            </w:r>
          </w:p>
          <w:p>
            <w:pPr>
              <w:pStyle w:val="NormalWeb"/>
              <w:spacing w:lineRule="auto" w:line="240" w:before="0" w:after="0"/>
              <w:rPr>
                <w:rFonts w:ascii="Calibri" w:hAnsi="Calibri" w:cs="Calibri"/>
                <w:b/>
                <w:b/>
                <w:lang w:val="en"/>
              </w:rPr>
            </w:pPr>
            <w:r>
              <w:rPr>
                <w:rFonts w:cs="Calibri" w:ascii="Calibri" w:hAnsi="Calibri"/>
                <w:b/>
                <w:lang w:val="en"/>
              </w:rPr>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 xml:space="preserve">Interpersonal skills: build and sustain relationships with young people and be able to work with young people on a one-to-one basis </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Communication skills: able to present information, engage and facilitate group meetings with young people</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Good organisational skills: using your own initiative to organise workload and deliver programmes of work within the required timeframe</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Analytical and problem-solving skills</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Attention to detail: accurately record information and monitor/evaluate practice</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Able to work well as part of a team and independently</w:t>
            </w:r>
          </w:p>
          <w:p>
            <w:pPr>
              <w:pStyle w:val="NormalWeb"/>
              <w:numPr>
                <w:ilvl w:val="0"/>
                <w:numId w:val="5"/>
              </w:numPr>
              <w:spacing w:lineRule="auto" w:line="240" w:before="0" w:after="0"/>
              <w:rPr>
                <w:rFonts w:ascii="Calibri" w:hAnsi="Calibri" w:cs="Calibri"/>
                <w:bCs/>
                <w:lang w:val="en"/>
              </w:rPr>
            </w:pPr>
            <w:r>
              <w:rPr>
                <w:rFonts w:cs="Calibri" w:ascii="Calibri" w:hAnsi="Calibri"/>
                <w:bCs/>
                <w:lang w:val="en"/>
              </w:rPr>
              <w:t>Ability to mentor and support volunteers</w:t>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t xml:space="preserve">Special Conditions </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4"/>
              </w:numPr>
              <w:spacing w:lineRule="auto" w:line="240" w:before="0" w:after="0"/>
              <w:rPr>
                <w:rFonts w:ascii="Calibri" w:hAnsi="Calibri" w:cs="Calibri"/>
                <w:lang w:val="en"/>
              </w:rPr>
            </w:pPr>
            <w:r>
              <w:rPr>
                <w:rFonts w:cs="Calibri" w:ascii="Calibri" w:hAnsi="Calibri"/>
                <w:lang w:val="en"/>
              </w:rPr>
              <w:t>Willing and able to travel to sites within the Trafford Borough</w:t>
            </w:r>
          </w:p>
          <w:p>
            <w:pPr>
              <w:pStyle w:val="NormalWeb"/>
              <w:numPr>
                <w:ilvl w:val="0"/>
                <w:numId w:val="4"/>
              </w:numPr>
              <w:spacing w:lineRule="auto" w:line="240" w:before="0" w:after="0"/>
              <w:rPr/>
            </w:pPr>
            <w:r>
              <w:rPr>
                <w:rFonts w:cs="Calibri" w:ascii="Calibri" w:hAnsi="Calibri"/>
              </w:rPr>
              <w:t>DBS Enhanced Children’s Barred List</w:t>
            </w:r>
            <w:r>
              <w:rPr>
                <w:rFonts w:cs="Calibri" w:ascii="Calibri" w:hAnsi="Calibri"/>
                <w:lang w:val="en"/>
              </w:rPr>
              <w:t xml:space="preserve"> required</w:t>
            </w:r>
          </w:p>
          <w:p>
            <w:pPr>
              <w:pStyle w:val="NormalWeb"/>
              <w:numPr>
                <w:ilvl w:val="0"/>
                <w:numId w:val="4"/>
              </w:numPr>
              <w:spacing w:lineRule="auto" w:line="240" w:before="0" w:after="0"/>
              <w:rPr>
                <w:rFonts w:ascii="Calibri" w:hAnsi="Calibri" w:cs="Calibri"/>
                <w:lang w:val="en"/>
              </w:rPr>
            </w:pPr>
            <w:r>
              <w:rPr>
                <w:rFonts w:cs="Calibri" w:ascii="Calibri" w:hAnsi="Calibri"/>
                <w:lang w:val="en"/>
              </w:rPr>
              <w:t>Unsocial hours/weekend work may be required</w:t>
            </w:r>
          </w:p>
          <w:p>
            <w:pPr>
              <w:pStyle w:val="NormalWeb"/>
              <w:spacing w:lineRule="auto" w:line="240" w:before="0" w:after="0"/>
              <w:rPr>
                <w:rFonts w:ascii="Calibri" w:hAnsi="Calibri" w:cs="Calibri"/>
                <w:lang w:val="en"/>
              </w:rPr>
            </w:pPr>
            <w:r>
              <w:rPr>
                <w:rFonts w:cs="Calibri" w:ascii="Calibri" w:hAnsi="Calibri"/>
                <w:lang w:val="en"/>
              </w:rPr>
            </w:r>
          </w:p>
        </w:tc>
      </w:tr>
    </w:tbl>
    <w:p>
      <w:pPr>
        <w:pStyle w:val="Normal"/>
        <w:rPr>
          <w:rFonts w:cs="Calibri"/>
          <w:u w:val="single"/>
        </w:rPr>
      </w:pPr>
      <w:r>
        <w:rPr>
          <w:rFonts w:cs="Calibri"/>
          <w:u w:val="single"/>
        </w:rPr>
      </w:r>
    </w:p>
    <w:tbl>
      <w:tblPr>
        <w:tblW w:w="9223" w:type="dxa"/>
        <w:jc w:val="left"/>
        <w:tblInd w:w="-577" w:type="dxa"/>
        <w:tblCellMar>
          <w:top w:w="0" w:type="dxa"/>
          <w:left w:w="108" w:type="dxa"/>
          <w:bottom w:w="0" w:type="dxa"/>
          <w:right w:w="108" w:type="dxa"/>
        </w:tblCellMar>
      </w:tblPr>
      <w:tblGrid>
        <w:gridCol w:w="2552"/>
        <w:gridCol w:w="6671"/>
      </w:tblGrid>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Date prepared/revised</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DEC 2019 | Updated 06/05/2025</w:t>
            </w:r>
          </w:p>
        </w:tc>
      </w:tr>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Prepared/revised by</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MM / JMT / T Jackson-Wilde / R Pollard</w:t>
            </w:r>
          </w:p>
        </w:tc>
      </w:tr>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Job Evaluation</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Existing evaluation</w:t>
            </w:r>
          </w:p>
        </w:tc>
      </w:tr>
    </w:tbl>
    <w:p>
      <w:pPr>
        <w:pStyle w:val="Normal"/>
        <w:rPr>
          <w:rFonts w:cs="Calibri"/>
          <w:u w:val="single"/>
        </w:rPr>
      </w:pPr>
      <w:r>
        <w:rPr>
          <w:rFonts w:cs="Calibri"/>
          <w:u w:val="single"/>
        </w:rPr>
      </w:r>
    </w:p>
    <w:p>
      <w:pPr>
        <w:pStyle w:val="Normal"/>
        <w:rPr>
          <w:rFonts w:cs="Calibri"/>
          <w:u w:val="single"/>
        </w:rPr>
      </w:pPr>
      <w:r>
        <w:rPr>
          <w:rFonts w:cs="Calibri"/>
          <w:u w:val="single"/>
        </w:rPr>
      </w:r>
      <w:r>
        <w:br w:type="page"/>
      </w:r>
    </w:p>
    <w:p>
      <w:pPr>
        <w:pStyle w:val="Normal"/>
        <w:rPr>
          <w:rFonts w:cs="Calibri"/>
          <w:u w:val="single"/>
        </w:rPr>
      </w:pPr>
      <w:r>
        <w:rPr>
          <w:rFonts w:cs="Calibri"/>
          <w:u w:val="single"/>
        </w:rPr>
      </w:r>
    </w:p>
    <w:p>
      <w:pPr>
        <w:pStyle w:val="Normal"/>
        <w:rPr>
          <w:rFonts w:ascii="Arial" w:hAnsi="Arial" w:eastAsia="Times New Roman" w:cs="Arial"/>
          <w:b/>
          <w:b/>
          <w:sz w:val="24"/>
          <w:szCs w:val="24"/>
          <w:u w:val="single"/>
        </w:rPr>
      </w:pPr>
      <w:r>
        <w:rPr>
          <w:rFonts w:eastAsia="Times New Roman" w:cs="Arial" w:ascii="Arial" w:hAnsi="Arial"/>
          <w:b/>
          <w:sz w:val="24"/>
          <w:szCs w:val="24"/>
          <w:u w:val="single"/>
        </w:rPr>
      </w:r>
      <w:r>
        <w:br w:type="page"/>
      </w:r>
    </w:p>
    <w:p>
      <w:pPr>
        <w:pStyle w:val="Normal"/>
        <w:spacing w:before="0" w:after="200"/>
        <w:rPr>
          <w:rFonts w:ascii="Arial" w:hAnsi="Arial" w:eastAsia="Times New Roman" w:cs="Arial"/>
          <w:b/>
          <w:b/>
          <w:sz w:val="24"/>
          <w:szCs w:val="24"/>
        </w:rPr>
      </w:pPr>
      <w:r>
        <w:rPr>
          <w:rFonts w:eastAsia="Times New Roman" w:cs="Arial" w:ascii="Arial" w:hAnsi="Arial"/>
          <w:b/>
          <w:sz w:val="24"/>
          <w:szCs w:val="24"/>
        </w:rPr>
        <mc:AlternateContent>
          <mc:Choice Requires="wps">
            <w:drawing>
              <wp:anchor behindDoc="0" distT="0" distB="0" distL="114935" distR="114935" simplePos="0" locked="0" layoutInCell="1" allowOverlap="1" relativeHeight="6">
                <wp:simplePos x="0" y="0"/>
                <wp:positionH relativeFrom="column">
                  <wp:posOffset>-12700</wp:posOffset>
                </wp:positionH>
                <wp:positionV relativeFrom="paragraph">
                  <wp:posOffset>-107950</wp:posOffset>
                </wp:positionV>
                <wp:extent cx="9088120" cy="6356985"/>
                <wp:effectExtent l="0" t="0" r="0" b="0"/>
                <wp:wrapNone/>
                <wp:docPr id="20" name=""/>
                <a:graphic xmlns:a="http://schemas.openxmlformats.org/drawingml/2006/main">
                  <a:graphicData uri="http://schemas.microsoft.com/office/word/2010/wordprocessingShape">
                    <wps:wsp>
                      <wps:cNvSpPr txBox="1"/>
                      <wps:spPr>
                        <a:xfrm>
                          <a:off x="0" y="0"/>
                          <a:ext cx="9087480" cy="6356520"/>
                        </a:xfrm>
                        <a:prstGeom prst="rect">
                          <a:avLst/>
                        </a:prstGeom>
                        <a:solidFill>
                          <a:srgbClr val="ffffff"/>
                        </a:solidFill>
                        <a:ln>
                          <a:noFill/>
                        </a:ln>
                      </wps:spPr>
                      <wps:bodyPr/>
                    </wps:wsp>
                  </a:graphicData>
                </a:graphic>
              </wp:anchor>
            </w:drawing>
          </mc:Choice>
          <mc:Fallback>
            <w:pict>
              <v:shape id="shape_0" fillcolor="white" stroked="f" style="position:absolute;margin-left:-1pt;margin-top:-8.5pt;width:715.5pt;height:500.4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0" simplePos="0" locked="0" layoutInCell="1" allowOverlap="1" relativeHeight="21">
                <wp:simplePos x="0" y="0"/>
                <wp:positionH relativeFrom="column">
                  <wp:posOffset>-12700</wp:posOffset>
                </wp:positionH>
                <wp:positionV relativeFrom="paragraph">
                  <wp:posOffset>-107950</wp:posOffset>
                </wp:positionV>
                <wp:extent cx="9087485" cy="6356350"/>
                <wp:effectExtent l="0" t="0" r="0" b="0"/>
                <wp:wrapNone/>
                <wp:docPr id="21" name="Frame9"/>
                <a:graphic xmlns:a="http://schemas.openxmlformats.org/drawingml/2006/main">
                  <a:graphicData uri="http://schemas.microsoft.com/office/word/2010/wordprocessingShape">
                    <wps:wsp>
                      <wps:cNvSpPr txBox="1"/>
                      <wps:spPr>
                        <a:xfrm>
                          <a:off x="0" y="0"/>
                          <a:ext cx="9087485" cy="6356350"/>
                        </a:xfrm>
                        <a:prstGeom prst="rect"/>
                        <a:solidFill>
                          <a:srgbClr val="FFFFFF"/>
                        </a:solidFill>
                      </wps:spPr>
                      <wps:txbx>
                        <w:txbxContent>
                          <w:p>
                            <w:pPr>
                              <w:pStyle w:val="Heading1"/>
                              <w:rPr>
                                <w:rFonts w:ascii="Calibri" w:hAnsi="Calibri" w:cs="Calibri"/>
                                <w:szCs w:val="24"/>
                              </w:rPr>
                            </w:pPr>
                            <w:r>
                              <w:rPr>
                                <w:rFonts w:cs="Calibri" w:ascii="Calibri" w:hAnsi="Calibri"/>
                                <w:szCs w:val="24"/>
                              </w:rPr>
                              <w:t>Health and Safety</w:t>
                            </w:r>
                          </w:p>
                          <w:p>
                            <w:pPr>
                              <w:pStyle w:val="FrameContents"/>
                              <w:spacing w:lineRule="auto" w:line="240" w:before="0" w:after="0"/>
                              <w:jc w:val="center"/>
                              <w:rPr>
                                <w:rFonts w:cs="Calibri"/>
                                <w:sz w:val="24"/>
                                <w:szCs w:val="24"/>
                              </w:rPr>
                            </w:pPr>
                            <w:r>
                              <w:rPr>
                                <w:rFonts w:cs="Calibri"/>
                                <w:sz w:val="24"/>
                                <w:szCs w:val="24"/>
                              </w:rPr>
                              <w:t>To operate safely within the workplace with regard to the Council’s health and safety policies, procedures and safe working practices.  To be responsible for your own Health and Safety and that of other employees.</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Equalities &amp; Diversity</w:t>
                            </w:r>
                          </w:p>
                          <w:p>
                            <w:pPr>
                              <w:pStyle w:val="DefaultText"/>
                              <w:widowControl/>
                              <w:jc w:val="center"/>
                              <w:rPr>
                                <w:rFonts w:ascii="Calibri" w:hAnsi="Calibri" w:cs="Calibri"/>
                                <w:szCs w:val="24"/>
                              </w:rPr>
                            </w:pPr>
                            <w:r>
                              <w:rPr>
                                <w:rFonts w:cs="Calibri" w:ascii="Calibri" w:hAnsi="Calibri"/>
                                <w:szCs w:val="24"/>
                              </w:rPr>
                              <w:t>To work within the Council’s Equalities and Diversity Policy, embracing through personal example, open commitment and clear action that diversity is positively valued, resulting in access for all by ensuring fair treatment in employment, service delivery and external communications.</w:t>
                            </w:r>
                          </w:p>
                          <w:p>
                            <w:pPr>
                              <w:pStyle w:val="DefaultText"/>
                              <w:widowControl/>
                              <w:jc w:val="center"/>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Customer Care</w:t>
                            </w:r>
                          </w:p>
                          <w:p>
                            <w:pPr>
                              <w:pStyle w:val="FrameContents"/>
                              <w:spacing w:lineRule="auto" w:line="240" w:before="0" w:after="0"/>
                              <w:jc w:val="center"/>
                              <w:rPr>
                                <w:rFonts w:cs="Calibri"/>
                                <w:sz w:val="24"/>
                                <w:szCs w:val="24"/>
                              </w:rPr>
                            </w:pPr>
                            <w:r>
                              <w:rPr>
                                <w:rFonts w:cs="Calibri"/>
                                <w:sz w:val="24"/>
                                <w:szCs w:val="24"/>
                              </w:rPr>
                              <w:t>To continually review, develop and improve systems, processes and services in support of the Council’s pursuit of excellence in service delivery. To recognise the value of its people as a resource.</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Training and Development</w:t>
                            </w:r>
                          </w:p>
                          <w:p>
                            <w:pPr>
                              <w:pStyle w:val="FrameContents"/>
                              <w:spacing w:lineRule="auto" w:line="240" w:before="0" w:after="0"/>
                              <w:jc w:val="center"/>
                              <w:rPr>
                                <w:rFonts w:cs="Calibri"/>
                                <w:sz w:val="24"/>
                                <w:szCs w:val="24"/>
                              </w:rPr>
                            </w:pPr>
                            <w:r>
                              <w:rPr>
                                <w:rFonts w:cs="Calibri"/>
                                <w:sz w:val="24"/>
                                <w:szCs w:val="24"/>
                              </w:rPr>
                              <w:t>To identify training and development needs with your manager, taking an active part in your Personal Development and Review Plan. To access development opportunities as they arise and share learning with others and where appropriate, actively encourage a learning environment and development within others.</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Policy</w:t>
                            </w:r>
                          </w:p>
                          <w:p>
                            <w:pPr>
                              <w:pStyle w:val="FrameContents"/>
                              <w:spacing w:lineRule="auto" w:line="240" w:before="0" w:after="0"/>
                              <w:jc w:val="center"/>
                              <w:rPr>
                                <w:rFonts w:cs="Calibri"/>
                                <w:sz w:val="24"/>
                                <w:szCs w:val="24"/>
                              </w:rPr>
                            </w:pPr>
                            <w:r>
                              <w:rPr>
                                <w:rFonts w:cs="Calibri"/>
                                <w:sz w:val="24"/>
                                <w:szCs w:val="24"/>
                              </w:rPr>
                              <w:t>To work at all times within the established policies and practices of the Council, within the framework established by the Council Constitution and associated guidance.</w:t>
                            </w:r>
                          </w:p>
                          <w:p>
                            <w:pPr>
                              <w:pStyle w:val="FrameContents"/>
                              <w:spacing w:lineRule="auto" w:line="240" w:before="0" w:after="0"/>
                              <w:jc w:val="center"/>
                              <w:rPr>
                                <w:rFonts w:eastAsia="Times New Roman" w:cs="Calibri"/>
                                <w:b/>
                                <w:b/>
                                <w:sz w:val="24"/>
                                <w:szCs w:val="24"/>
                              </w:rPr>
                            </w:pPr>
                            <w:r>
                              <w:rPr>
                                <w:rFonts w:eastAsia="Times New Roman" w:cs="Calibri"/>
                                <w:b/>
                                <w:sz w:val="24"/>
                                <w:szCs w:val="24"/>
                              </w:rPr>
                            </w:r>
                          </w:p>
                          <w:p>
                            <w:pPr>
                              <w:pStyle w:val="FrameContents"/>
                              <w:spacing w:lineRule="auto" w:line="240" w:before="0" w:after="0"/>
                              <w:jc w:val="center"/>
                              <w:rPr>
                                <w:rFonts w:eastAsia="Times New Roman" w:cs="Calibri"/>
                                <w:b/>
                                <w:b/>
                                <w:sz w:val="24"/>
                                <w:szCs w:val="24"/>
                              </w:rPr>
                            </w:pPr>
                            <w:r>
                              <w:rPr>
                                <w:rFonts w:eastAsia="Times New Roman" w:cs="Calibri"/>
                                <w:b/>
                                <w:sz w:val="24"/>
                                <w:szCs w:val="24"/>
                              </w:rPr>
                              <w:t>Information Governance</w:t>
                            </w:r>
                          </w:p>
                          <w:p>
                            <w:pPr>
                              <w:pStyle w:val="FrameContents"/>
                              <w:spacing w:lineRule="auto" w:line="240" w:before="0" w:after="0"/>
                              <w:jc w:val="center"/>
                              <w:rPr>
                                <w:rFonts w:eastAsia="Times New Roman" w:cs="Calibri"/>
                                <w:sz w:val="24"/>
                                <w:szCs w:val="24"/>
                              </w:rPr>
                            </w:pPr>
                            <w:r>
                              <w:rPr>
                                <w:rFonts w:eastAsia="Times New Roman" w:cs="Calibri"/>
                                <w:sz w:val="24"/>
                                <w:szCs w:val="24"/>
                              </w:rPr>
                              <w:t>Confidentiality is of prime importance.  In the normal course of duties, the post holder will have access to personal and or sensitive information relating to service users, staff and contractors, as well as information of a commercially sensitive nature.  Such information should not be communicated to anyone outside or inside the Council unless done in the normal course of carrying out the duties of the post.  Disciplinary action will be considered where a breach of confidence and or data breach has been established.</w:t>
                            </w:r>
                          </w:p>
                          <w:p>
                            <w:pPr>
                              <w:pStyle w:val="FrameContents"/>
                              <w:tabs>
                                <w:tab w:val="clear" w:pos="720"/>
                                <w:tab w:val="left" w:pos="6528" w:leader="none"/>
                                <w:tab w:val="left" w:pos="7740" w:leader="none"/>
                                <w:tab w:val="right" w:pos="9026" w:leader="none"/>
                              </w:tabs>
                              <w:spacing w:lineRule="auto" w:line="240" w:before="0" w:after="0"/>
                              <w:ind w:left="720" w:right="0" w:hanging="0"/>
                              <w:jc w:val="center"/>
                              <w:rPr>
                                <w:rFonts w:eastAsia="Times New Roman" w:cs="Calibri"/>
                                <w:sz w:val="24"/>
                                <w:szCs w:val="24"/>
                              </w:rPr>
                            </w:pPr>
                            <w:r>
                              <w:rPr>
                                <w:rFonts w:eastAsia="Times New Roman" w:cs="Calibri"/>
                                <w:sz w:val="24"/>
                                <w:szCs w:val="24"/>
                              </w:rPr>
                            </w:r>
                          </w:p>
                          <w:p>
                            <w:pPr>
                              <w:pStyle w:val="FrameContents"/>
                              <w:spacing w:lineRule="auto" w:line="240" w:before="0" w:after="0"/>
                              <w:jc w:val="center"/>
                              <w:rPr>
                                <w:rFonts w:eastAsia="Times New Roman" w:cs="Calibri"/>
                                <w:sz w:val="24"/>
                                <w:szCs w:val="24"/>
                              </w:rPr>
                            </w:pPr>
                            <w:r>
                              <w:rPr>
                                <w:rFonts w:eastAsia="Times New Roman" w:cs="Calibri"/>
                                <w:sz w:val="24"/>
                                <w:szCs w:val="24"/>
                              </w:rPr>
                              <w:t>All information obtained or held during the post-holders period of employment that relates to the business of the Council and its service users and employees will remain the property of the Council.  Information may be subject to disclosure under relevant legislation.</w:t>
                            </w:r>
                          </w:p>
                          <w:p>
                            <w:pPr>
                              <w:pStyle w:val="FrameContents"/>
                              <w:spacing w:lineRule="auto" w:line="240" w:before="0" w:after="0"/>
                              <w:jc w:val="center"/>
                              <w:rPr>
                                <w:rFonts w:eastAsia="Times New Roman" w:cs="Calibri"/>
                                <w:sz w:val="24"/>
                                <w:szCs w:val="24"/>
                              </w:rPr>
                            </w:pPr>
                            <w:r>
                              <w:rPr>
                                <w:rFonts w:eastAsia="Times New Roman" w:cs="Calibri"/>
                                <w:sz w:val="24"/>
                                <w:szCs w:val="24"/>
                              </w:rPr>
                            </w:r>
                          </w:p>
                          <w:p>
                            <w:pPr>
                              <w:pStyle w:val="FrameContents"/>
                              <w:spacing w:lineRule="auto" w:line="240" w:before="0" w:after="0"/>
                              <w:jc w:val="center"/>
                              <w:rPr>
                                <w:rFonts w:eastAsia="Times New Roman" w:cs="Calibri"/>
                                <w:sz w:val="24"/>
                                <w:szCs w:val="24"/>
                              </w:rPr>
                            </w:pPr>
                            <w:r>
                              <w:rPr>
                                <w:rFonts w:eastAsia="Times New Roman" w:cs="Calibri"/>
                                <w:sz w:val="24"/>
                                <w:szCs w:val="24"/>
                              </w:rPr>
                              <w:t>To ensure information is shared safely and complies with information governance standards and associated legislation.</w:t>
                            </w:r>
                          </w:p>
                        </w:txbxContent>
                      </wps:txbx>
                      <wps:bodyPr anchor="t" lIns="92075" tIns="46355" rIns="92075" bIns="46355">
                        <a:noAutofit/>
                      </wps:bodyPr>
                    </wps:wsp>
                  </a:graphicData>
                </a:graphic>
              </wp:anchor>
            </w:drawing>
          </mc:Choice>
          <mc:Fallback>
            <w:pict>
              <v:rect fillcolor="#FFFFFF" style="position:absolute;rotation:0;width:715.55pt;height:500.5pt;mso-wrap-distance-left:0pt;mso-wrap-distance-right:0pt;mso-wrap-distance-top:5.7pt;mso-wrap-distance-bottom:5.7pt;margin-top:-8.5pt;mso-position-vertical-relative:text;margin-left:-1pt;mso-position-horizontal-relative:text">
                <v:textbox inset="0.100694444444444in,0.0506944444444444in,0.100694444444444in,0.0506944444444444in">
                  <w:txbxContent>
                    <w:p>
                      <w:pPr>
                        <w:pStyle w:val="Heading1"/>
                        <w:rPr>
                          <w:rFonts w:ascii="Calibri" w:hAnsi="Calibri" w:cs="Calibri"/>
                          <w:szCs w:val="24"/>
                        </w:rPr>
                      </w:pPr>
                      <w:r>
                        <w:rPr>
                          <w:rFonts w:cs="Calibri" w:ascii="Calibri" w:hAnsi="Calibri"/>
                          <w:szCs w:val="24"/>
                        </w:rPr>
                        <w:t>Health and Safety</w:t>
                      </w:r>
                    </w:p>
                    <w:p>
                      <w:pPr>
                        <w:pStyle w:val="FrameContents"/>
                        <w:spacing w:lineRule="auto" w:line="240" w:before="0" w:after="0"/>
                        <w:jc w:val="center"/>
                        <w:rPr>
                          <w:rFonts w:cs="Calibri"/>
                          <w:sz w:val="24"/>
                          <w:szCs w:val="24"/>
                        </w:rPr>
                      </w:pPr>
                      <w:r>
                        <w:rPr>
                          <w:rFonts w:cs="Calibri"/>
                          <w:sz w:val="24"/>
                          <w:szCs w:val="24"/>
                        </w:rPr>
                        <w:t>To operate safely within the workplace with regard to the Council’s health and safety policies, procedures and safe working practices.  To be responsible for your own Health and Safety and that of other employees.</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Equalities &amp; Diversity</w:t>
                      </w:r>
                    </w:p>
                    <w:p>
                      <w:pPr>
                        <w:pStyle w:val="DefaultText"/>
                        <w:widowControl/>
                        <w:jc w:val="center"/>
                        <w:rPr>
                          <w:rFonts w:ascii="Calibri" w:hAnsi="Calibri" w:cs="Calibri"/>
                          <w:szCs w:val="24"/>
                        </w:rPr>
                      </w:pPr>
                      <w:r>
                        <w:rPr>
                          <w:rFonts w:cs="Calibri" w:ascii="Calibri" w:hAnsi="Calibri"/>
                          <w:szCs w:val="24"/>
                        </w:rPr>
                        <w:t>To work within the Council’s Equalities and Diversity Policy, embracing through personal example, open commitment and clear action that diversity is positively valued, resulting in access for all by ensuring fair treatment in employment, service delivery and external communications.</w:t>
                      </w:r>
                    </w:p>
                    <w:p>
                      <w:pPr>
                        <w:pStyle w:val="DefaultText"/>
                        <w:widowControl/>
                        <w:jc w:val="center"/>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Customer Care</w:t>
                      </w:r>
                    </w:p>
                    <w:p>
                      <w:pPr>
                        <w:pStyle w:val="FrameContents"/>
                        <w:spacing w:lineRule="auto" w:line="240" w:before="0" w:after="0"/>
                        <w:jc w:val="center"/>
                        <w:rPr>
                          <w:rFonts w:cs="Calibri"/>
                          <w:sz w:val="24"/>
                          <w:szCs w:val="24"/>
                        </w:rPr>
                      </w:pPr>
                      <w:r>
                        <w:rPr>
                          <w:rFonts w:cs="Calibri"/>
                          <w:sz w:val="24"/>
                          <w:szCs w:val="24"/>
                        </w:rPr>
                        <w:t>To continually review, develop and improve systems, processes and services in support of the Council’s pursuit of excellence in service delivery. To recognise the value of its people as a resource.</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Training and Development</w:t>
                      </w:r>
                    </w:p>
                    <w:p>
                      <w:pPr>
                        <w:pStyle w:val="FrameContents"/>
                        <w:spacing w:lineRule="auto" w:line="240" w:before="0" w:after="0"/>
                        <w:jc w:val="center"/>
                        <w:rPr>
                          <w:rFonts w:cs="Calibri"/>
                          <w:sz w:val="24"/>
                          <w:szCs w:val="24"/>
                        </w:rPr>
                      </w:pPr>
                      <w:r>
                        <w:rPr>
                          <w:rFonts w:cs="Calibri"/>
                          <w:sz w:val="24"/>
                          <w:szCs w:val="24"/>
                        </w:rPr>
                        <w:t>To identify training and development needs with your manager, taking an active part in your Personal Development and Review Plan. To access development opportunities as they arise and share learning with others and where appropriate, actively encourage a learning environment and development within others.</w:t>
                      </w:r>
                    </w:p>
                    <w:p>
                      <w:pPr>
                        <w:pStyle w:val="Heading1"/>
                        <w:rPr>
                          <w:rFonts w:ascii="Calibri" w:hAnsi="Calibri" w:cs="Calibri"/>
                          <w:szCs w:val="24"/>
                        </w:rPr>
                      </w:pPr>
                      <w:r>
                        <w:rPr>
                          <w:rFonts w:cs="Calibri" w:ascii="Calibri" w:hAnsi="Calibri"/>
                          <w:szCs w:val="24"/>
                        </w:rPr>
                      </w:r>
                    </w:p>
                    <w:p>
                      <w:pPr>
                        <w:pStyle w:val="Heading1"/>
                        <w:rPr>
                          <w:rFonts w:ascii="Calibri" w:hAnsi="Calibri" w:cs="Calibri"/>
                          <w:szCs w:val="24"/>
                        </w:rPr>
                      </w:pPr>
                      <w:r>
                        <w:rPr>
                          <w:rFonts w:cs="Calibri" w:ascii="Calibri" w:hAnsi="Calibri"/>
                          <w:szCs w:val="24"/>
                        </w:rPr>
                        <w:t>Policy</w:t>
                      </w:r>
                    </w:p>
                    <w:p>
                      <w:pPr>
                        <w:pStyle w:val="FrameContents"/>
                        <w:spacing w:lineRule="auto" w:line="240" w:before="0" w:after="0"/>
                        <w:jc w:val="center"/>
                        <w:rPr>
                          <w:rFonts w:cs="Calibri"/>
                          <w:sz w:val="24"/>
                          <w:szCs w:val="24"/>
                        </w:rPr>
                      </w:pPr>
                      <w:r>
                        <w:rPr>
                          <w:rFonts w:cs="Calibri"/>
                          <w:sz w:val="24"/>
                          <w:szCs w:val="24"/>
                        </w:rPr>
                        <w:t>To work at all times within the established policies and practices of the Council, within the framework established by the Council Constitution and associated guidance.</w:t>
                      </w:r>
                    </w:p>
                    <w:p>
                      <w:pPr>
                        <w:pStyle w:val="FrameContents"/>
                        <w:spacing w:lineRule="auto" w:line="240" w:before="0" w:after="0"/>
                        <w:jc w:val="center"/>
                        <w:rPr>
                          <w:rFonts w:eastAsia="Times New Roman" w:cs="Calibri"/>
                          <w:b/>
                          <w:b/>
                          <w:sz w:val="24"/>
                          <w:szCs w:val="24"/>
                        </w:rPr>
                      </w:pPr>
                      <w:r>
                        <w:rPr>
                          <w:rFonts w:eastAsia="Times New Roman" w:cs="Calibri"/>
                          <w:b/>
                          <w:sz w:val="24"/>
                          <w:szCs w:val="24"/>
                        </w:rPr>
                      </w:r>
                    </w:p>
                    <w:p>
                      <w:pPr>
                        <w:pStyle w:val="FrameContents"/>
                        <w:spacing w:lineRule="auto" w:line="240" w:before="0" w:after="0"/>
                        <w:jc w:val="center"/>
                        <w:rPr>
                          <w:rFonts w:eastAsia="Times New Roman" w:cs="Calibri"/>
                          <w:b/>
                          <w:b/>
                          <w:sz w:val="24"/>
                          <w:szCs w:val="24"/>
                        </w:rPr>
                      </w:pPr>
                      <w:r>
                        <w:rPr>
                          <w:rFonts w:eastAsia="Times New Roman" w:cs="Calibri"/>
                          <w:b/>
                          <w:sz w:val="24"/>
                          <w:szCs w:val="24"/>
                        </w:rPr>
                        <w:t>Information Governance</w:t>
                      </w:r>
                    </w:p>
                    <w:p>
                      <w:pPr>
                        <w:pStyle w:val="FrameContents"/>
                        <w:spacing w:lineRule="auto" w:line="240" w:before="0" w:after="0"/>
                        <w:jc w:val="center"/>
                        <w:rPr>
                          <w:rFonts w:eastAsia="Times New Roman" w:cs="Calibri"/>
                          <w:sz w:val="24"/>
                          <w:szCs w:val="24"/>
                        </w:rPr>
                      </w:pPr>
                      <w:r>
                        <w:rPr>
                          <w:rFonts w:eastAsia="Times New Roman" w:cs="Calibri"/>
                          <w:sz w:val="24"/>
                          <w:szCs w:val="24"/>
                        </w:rPr>
                        <w:t>Confidentiality is of prime importance.  In the normal course of duties, the post holder will have access to personal and or sensitive information relating to service users, staff and contractors, as well as information of a commercially sensitive nature.  Such information should not be communicated to anyone outside or inside the Council unless done in the normal course of carrying out the duties of the post.  Disciplinary action will be considered where a breach of confidence and or data breach has been established.</w:t>
                      </w:r>
                    </w:p>
                    <w:p>
                      <w:pPr>
                        <w:pStyle w:val="FrameContents"/>
                        <w:tabs>
                          <w:tab w:val="clear" w:pos="720"/>
                          <w:tab w:val="left" w:pos="6528" w:leader="none"/>
                          <w:tab w:val="left" w:pos="7740" w:leader="none"/>
                          <w:tab w:val="right" w:pos="9026" w:leader="none"/>
                        </w:tabs>
                        <w:spacing w:lineRule="auto" w:line="240" w:before="0" w:after="0"/>
                        <w:ind w:left="720" w:right="0" w:hanging="0"/>
                        <w:jc w:val="center"/>
                        <w:rPr>
                          <w:rFonts w:eastAsia="Times New Roman" w:cs="Calibri"/>
                          <w:sz w:val="24"/>
                          <w:szCs w:val="24"/>
                        </w:rPr>
                      </w:pPr>
                      <w:r>
                        <w:rPr>
                          <w:rFonts w:eastAsia="Times New Roman" w:cs="Calibri"/>
                          <w:sz w:val="24"/>
                          <w:szCs w:val="24"/>
                        </w:rPr>
                      </w:r>
                    </w:p>
                    <w:p>
                      <w:pPr>
                        <w:pStyle w:val="FrameContents"/>
                        <w:spacing w:lineRule="auto" w:line="240" w:before="0" w:after="0"/>
                        <w:jc w:val="center"/>
                        <w:rPr>
                          <w:rFonts w:eastAsia="Times New Roman" w:cs="Calibri"/>
                          <w:sz w:val="24"/>
                          <w:szCs w:val="24"/>
                        </w:rPr>
                      </w:pPr>
                      <w:r>
                        <w:rPr>
                          <w:rFonts w:eastAsia="Times New Roman" w:cs="Calibri"/>
                          <w:sz w:val="24"/>
                          <w:szCs w:val="24"/>
                        </w:rPr>
                        <w:t>All information obtained or held during the post-holders period of employment that relates to the business of the Council and its service users and employees will remain the property of the Council.  Information may be subject to disclosure under relevant legislation.</w:t>
                      </w:r>
                    </w:p>
                    <w:p>
                      <w:pPr>
                        <w:pStyle w:val="FrameContents"/>
                        <w:spacing w:lineRule="auto" w:line="240" w:before="0" w:after="0"/>
                        <w:jc w:val="center"/>
                        <w:rPr>
                          <w:rFonts w:eastAsia="Times New Roman" w:cs="Calibri"/>
                          <w:sz w:val="24"/>
                          <w:szCs w:val="24"/>
                        </w:rPr>
                      </w:pPr>
                      <w:r>
                        <w:rPr>
                          <w:rFonts w:eastAsia="Times New Roman" w:cs="Calibri"/>
                          <w:sz w:val="24"/>
                          <w:szCs w:val="24"/>
                        </w:rPr>
                      </w:r>
                    </w:p>
                    <w:p>
                      <w:pPr>
                        <w:pStyle w:val="FrameContents"/>
                        <w:spacing w:lineRule="auto" w:line="240" w:before="0" w:after="0"/>
                        <w:jc w:val="center"/>
                        <w:rPr>
                          <w:rFonts w:eastAsia="Times New Roman" w:cs="Calibri"/>
                          <w:sz w:val="24"/>
                          <w:szCs w:val="24"/>
                        </w:rPr>
                      </w:pPr>
                      <w:r>
                        <w:rPr>
                          <w:rFonts w:eastAsia="Times New Roman" w:cs="Calibri"/>
                          <w:sz w:val="24"/>
                          <w:szCs w:val="24"/>
                        </w:rPr>
                        <w:t>To ensure information is shared safely and complies with information governance standards and associated legislation.</w:t>
                      </w:r>
                    </w:p>
                  </w:txbxContent>
                </v:textbox>
              </v:rect>
            </w:pict>
          </mc:Fallback>
        </mc:AlternateContent>
      </w:r>
    </w:p>
    <w:sectPr>
      <w:type w:val="nextPage"/>
      <w:pgSz w:orient="landscape" w:w="16838" w:h="11906"/>
      <w:pgMar w:left="1440" w:right="1440" w:header="0" w:top="993"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4"/>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4"/>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4"/>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lang w:val="e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val="en"/>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val="en"/>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o"/>
      <w:lvlJc w:val="left"/>
      <w:pPr>
        <w:ind w:left="1440" w:hanging="360"/>
      </w:pPr>
      <w:rPr>
        <w:rFonts w:ascii="Courier New" w:hAnsi="Courier New" w:cs="Courier New" w:hint="default"/>
        <w:sz w:val="24"/>
        <w:b/>
        <w:rFonts w:cs="Courier New"/>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sz w:val="24"/>
        <w:szCs w:val="24"/>
        <w:rFonts w:cs="Symbol"/>
        <w:lang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4"/>
        <w:szCs w:val="24"/>
        <w:rFonts w:cs="Symbol"/>
        <w:lang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4"/>
        <w:szCs w:val="24"/>
        <w:rFonts w:cs="Symbol"/>
        <w:lang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o"/>
      <w:lvlJc w:val="left"/>
      <w:pPr>
        <w:ind w:left="1440" w:hanging="360"/>
      </w:pPr>
      <w:rPr>
        <w:rFonts w:ascii="Courier New" w:hAnsi="Courier New" w:cs="Courier New" w:hint="default"/>
        <w:sz w:val="24"/>
        <w:b w:val="false"/>
        <w:szCs w:val="24"/>
        <w:rFonts w:cs="Courier New"/>
        <w:color w:val="auto"/>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jc w:val="center"/>
      <w:outlineLvl w:val="0"/>
    </w:pPr>
    <w:rPr>
      <w:rFonts w:ascii="Times New Roman" w:hAnsi="Times New Roman" w:eastAsia="Times New Roman" w:cs="Times New Roman"/>
      <w:b/>
      <w:sz w:val="24"/>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4"/>
      <w:szCs w:val="24"/>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lang w:val="e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Courier New" w:hAnsi="Courier New" w:cs="Courier New"/>
      <w:b/>
      <w:sz w:val="24"/>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Symbol" w:hAnsi="Symbol" w:eastAsia="Times New Roman" w:cs="Symbol"/>
      <w:sz w:val="24"/>
      <w:szCs w:val="24"/>
      <w:lang w:eastAsia="en-GB"/>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Courier New" w:hAnsi="Courier New" w:cs="Courier New"/>
      <w:b w:val="false"/>
      <w:color w:val="auto"/>
      <w:sz w:val="24"/>
      <w:szCs w:val="24"/>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Times New Roman" w:hAnsi="Times New Roman" w:eastAsia="Times New Roman" w:cs="Times New Roman"/>
      <w:b/>
      <w:sz w:val="24"/>
      <w:szCs w:val="20"/>
    </w:rPr>
  </w:style>
  <w:style w:type="character" w:styleId="BodyTextChar">
    <w:name w:val="Body Text Char"/>
    <w:basedOn w:val="DefaultParagraphFont"/>
    <w:qFormat/>
    <w:rPr>
      <w:rFonts w:ascii="Arial" w:hAnsi="Arial" w:eastAsia="Times New Roman" w:cs="Arial"/>
      <w:sz w:val="24"/>
      <w:szCs w:val="20"/>
    </w:rPr>
  </w:style>
  <w:style w:type="character" w:styleId="HeaderChar">
    <w:name w:val="Header Char"/>
    <w:basedOn w:val="DefaultParagraphFont"/>
    <w:qFormat/>
    <w:rPr/>
  </w:style>
  <w:style w:type="character" w:styleId="FooterChar">
    <w:name w:val="Footer Char"/>
    <w:basedOn w:val="DefaultParagraphFont"/>
    <w:qFormat/>
    <w:rPr/>
  </w:style>
  <w:style w:type="character" w:styleId="Strong">
    <w:name w:val="Strong"/>
    <w:basedOn w:val="DefaultParagraphFont"/>
    <w:qFormat/>
    <w:rPr>
      <w:b/>
      <w:bCs/>
    </w:rPr>
  </w:style>
  <w:style w:type="character" w:styleId="HEADINGINLOWERCASE11PTBOLD">
    <w:name w:val="HEADING IN LOWER CASE - 11PT BOLD"/>
    <w:qFormat/>
    <w:rPr>
      <w:rFonts w:ascii="Calibri" w:hAnsi="Calibri" w:cs="Calibri"/>
      <w:b/>
      <w:bCs/>
      <w:color w:val="8A0066"/>
      <w:sz w:val="22"/>
      <w:szCs w:val="2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40" w:before="0" w:after="0"/>
    </w:pPr>
    <w:rPr>
      <w:rFonts w:ascii="Arial" w:hAnsi="Arial" w:eastAsia="Times New Roman" w:cs="Arial"/>
      <w:sz w:val="24"/>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DefaultText">
    <w:name w:val="Default Text"/>
    <w:basedOn w:val="Normal"/>
    <w:qFormat/>
    <w:pPr>
      <w:widowControl w:val="false"/>
      <w:spacing w:lineRule="auto" w:line="240" w:before="0" w:after="0"/>
    </w:pPr>
    <w:rPr>
      <w:rFonts w:ascii="Times New Roman" w:hAnsi="Times New Roman" w:eastAsia="Times New Roman" w:cs="Times New Roman"/>
      <w:sz w:val="24"/>
      <w:szCs w:val="20"/>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left="720" w:right="0" w:hanging="0"/>
      <w:contextualSpacing/>
    </w:pPr>
    <w:rPr/>
  </w:style>
  <w:style w:type="paragraph" w:styleId="Default">
    <w:name w:val="Default"/>
    <w:qFormat/>
    <w:pPr>
      <w:widowControl/>
      <w:suppressAutoHyphens w:val="true"/>
      <w:bidi w:val="0"/>
      <w:spacing w:lineRule="auto" w:line="240" w:before="0" w:after="0"/>
      <w:jc w:val="left"/>
    </w:pPr>
    <w:rPr>
      <w:rFonts w:ascii="Arial" w:hAnsi="Arial" w:eastAsia="Times New Roman" w:cs="Arial"/>
      <w:color w:val="000000"/>
      <w:kern w:val="0"/>
      <w:sz w:val="24"/>
      <w:szCs w:val="24"/>
      <w:lang w:val="en-GB" w:eastAsia="en-GB" w:bidi="ar-SA"/>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