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wmf" ContentType="image/x-wmf"/>
  <Override PartName="/word/media/image4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20"/>
          <w:tab w:val="left" w:pos="7755" w:leader="none"/>
        </w:tabs>
        <w:jc w:val="both"/>
        <w:rPr>
          <w:b/>
          <w:b/>
          <w:color w:val="0D0D0D"/>
          <w:highlight w:val="white"/>
        </w:rPr>
      </w:pPr>
      <w:r>
        <w:rPr>
          <w:b/>
          <w:color w:val="0D0D0D"/>
          <w:shd w:fill="FFFFFF" w:val="clear"/>
        </w:rPr>
      </w:r>
    </w:p>
    <w:p>
      <w:pPr>
        <w:pStyle w:val="Heading1"/>
        <w:jc w:val="center"/>
        <w:rPr>
          <w:b/>
          <w:b/>
          <w:color w:val="585857"/>
          <w:highlight w:val="white"/>
        </w:rPr>
      </w:pPr>
      <w:r>
        <w:rPr>
          <w:b/>
          <w:color w:val="585857"/>
          <w:shd w:fill="FFFFFF" w:val="clear"/>
        </w:rPr>
      </w:r>
    </w:p>
    <w:p>
      <w:pPr>
        <w:pStyle w:val="Heading1"/>
        <w:jc w:val="center"/>
        <w:rPr/>
      </w:pPr>
      <w:r>
        <w:rPr/>
        <w:t>Job Description and Person Specification</w:t>
      </w:r>
    </w:p>
    <w:p>
      <w:pPr>
        <w:pStyle w:val="Heading1"/>
        <w:rPr/>
      </w:pPr>
      <w:r>
        <w:rPr/>
        <w:t xml:space="preserve">ICT Teacher </w:t>
      </w:r>
    </w:p>
    <w:p>
      <w:pPr>
        <w:pStyle w:val="Normal"/>
        <w:rPr>
          <w:lang w:val="en-GB" w:eastAsia="en-GB"/>
        </w:rPr>
      </w:pPr>
      <w:r>
        <w:rPr>
          <w:lang w:val="en-GB" w:eastAsia="en-GB"/>
        </w:rPr>
      </w:r>
    </w:p>
    <w:p>
      <w:pPr>
        <w:pStyle w:val="Heading2"/>
        <w:spacing w:lineRule="auto" w:line="360"/>
        <w:jc w:val="both"/>
        <w:rPr/>
      </w:pPr>
      <w:r>
        <w:rPr/>
        <w:t>Purpose of the Role</w:t>
      </w:r>
    </w:p>
    <w:p>
      <w:pPr>
        <w:pStyle w:val="Normal"/>
        <w:spacing w:before="280" w:after="28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>To deliver high-quality, personalised teaching and learning in ICT/Computing for secondary-aged pupils with complex SEND, ensuring all learners make sustained progress across academic, social, and communication outcomes.</w:t>
      </w:r>
    </w:p>
    <w:p>
      <w:pPr>
        <w:pStyle w:val="Normal"/>
        <w:spacing w:before="280" w:after="28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>The role includes contributing to curriculum development, supporting whole-school digital strategy, and embedding safe and effective use of technology.</w:t>
      </w:r>
    </w:p>
    <w:p>
      <w:pPr>
        <w:pStyle w:val="Heading2"/>
        <w:spacing w:lineRule="auto" w:line="360"/>
        <w:jc w:val="both"/>
        <w:rPr/>
      </w:pPr>
      <w:r>
        <w:rPr/>
        <w:t>Key Responsibilities</w:t>
      </w:r>
    </w:p>
    <w:p>
      <w:pPr>
        <w:pStyle w:val="Heading2"/>
        <w:spacing w:lineRule="auto" w:line="360"/>
        <w:jc w:val="both"/>
        <w:rPr/>
      </w:pPr>
      <w:r>
        <w:rPr/>
        <w:t>Teaching, Learning and Curriculum</w:t>
      </w:r>
    </w:p>
    <w:p>
      <w:pPr>
        <w:pStyle w:val="Normal"/>
        <w:numPr>
          <w:ilvl w:val="0"/>
          <w:numId w:val="8"/>
        </w:numPr>
        <w:spacing w:before="28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Plan and deliver high-quality, personalised ICT lessons tailored to meet the needs of pupils with complex SEND </w:t>
      </w:r>
    </w:p>
    <w:p>
      <w:pPr>
        <w:pStyle w:val="Normal"/>
        <w:numPr>
          <w:ilvl w:val="0"/>
          <w:numId w:val="8"/>
        </w:numPr>
        <w:spacing w:before="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Apply the principles of curriculum planning, ensuring a sequenced, ambitious and adapted curriculum </w:t>
      </w:r>
    </w:p>
    <w:p>
      <w:pPr>
        <w:pStyle w:val="Normal"/>
        <w:numPr>
          <w:ilvl w:val="0"/>
          <w:numId w:val="8"/>
        </w:numPr>
        <w:spacing w:before="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Use a range of teaching strategies to support communication, engagement, independence and regulation </w:t>
      </w:r>
    </w:p>
    <w:p>
      <w:pPr>
        <w:pStyle w:val="Normal"/>
        <w:numPr>
          <w:ilvl w:val="0"/>
          <w:numId w:val="8"/>
        </w:numPr>
        <w:spacing w:before="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Embed functional ICT, digital literacy and life skills within the curriculum where appropriate </w:t>
      </w:r>
    </w:p>
    <w:p>
      <w:pPr>
        <w:pStyle w:val="Normal"/>
        <w:numPr>
          <w:ilvl w:val="0"/>
          <w:numId w:val="8"/>
        </w:numPr>
        <w:spacing w:before="0" w:after="28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Use technology effectively to enhance teaching and learning across the curriculum </w:t>
      </w:r>
    </w:p>
    <w:p>
      <w:pPr>
        <w:pStyle w:val="Normal"/>
        <w:spacing w:before="0" w:after="0"/>
        <w:jc w:val="both"/>
        <w:rPr>
          <w:bCs w:val="false"/>
          <w:color w:val="auto"/>
          <w:lang w:val="en-GB" w:eastAsia="en-GB"/>
        </w:rPr>
      </w:pPr>
      <w:r>
        <w:rPr>
          <w:bCs w:val="false"/>
          <w:color w:val="auto"/>
          <w:lang w:val="en-GB" w:eastAsia="en-GB"/>
        </w:rPr>
      </w:r>
    </w:p>
    <w:p>
      <w:pPr>
        <w:pStyle w:val="Heading2"/>
        <w:spacing w:lineRule="auto" w:line="360"/>
        <w:jc w:val="both"/>
        <w:rPr/>
      </w:pPr>
      <w:r>
        <w:rPr/>
        <w:t>Assessment, Monitoring and Progress</w:t>
      </w:r>
    </w:p>
    <w:p>
      <w:pPr>
        <w:pStyle w:val="ListParagraph"/>
        <w:numPr>
          <w:ilvl w:val="0"/>
          <w:numId w:val="7"/>
        </w:numPr>
        <w:spacing w:before="280" w:after="0"/>
        <w:contextualSpacing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Apply the principles and practices of assessment, monitoring and evaluation to support pupil progress </w:t>
      </w:r>
    </w:p>
    <w:p>
      <w:pPr>
        <w:pStyle w:val="ListParagraph"/>
        <w:numPr>
          <w:ilvl w:val="0"/>
          <w:numId w:val="7"/>
        </w:numPr>
        <w:spacing w:before="0" w:after="0"/>
        <w:contextualSpacing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Use assessment data effectively to plan for sustained development across all areas (academic, communication, social and independence) </w:t>
      </w:r>
    </w:p>
    <w:p>
      <w:pPr>
        <w:pStyle w:val="ListParagraph"/>
        <w:numPr>
          <w:ilvl w:val="0"/>
          <w:numId w:val="7"/>
        </w:numPr>
        <w:spacing w:before="0" w:after="0"/>
        <w:contextualSpacing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Track and report on pupil progress, including contributions to EHCP reviews </w:t>
      </w:r>
    </w:p>
    <w:p>
      <w:pPr>
        <w:pStyle w:val="ListParagraph"/>
        <w:numPr>
          <w:ilvl w:val="0"/>
          <w:numId w:val="7"/>
        </w:numPr>
        <w:spacing w:before="0" w:after="280"/>
        <w:contextualSpacing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Adapt teaching based on ongoing assessment and evaluation of impact </w:t>
      </w:r>
    </w:p>
    <w:p>
      <w:pPr>
        <w:pStyle w:val="Normal"/>
        <w:spacing w:before="0" w:after="0"/>
        <w:jc w:val="both"/>
        <w:rPr>
          <w:bCs w:val="false"/>
          <w:color w:val="auto"/>
          <w:lang w:val="en-GB" w:eastAsia="en-GB"/>
        </w:rPr>
      </w:pPr>
      <w:r>
        <w:rPr>
          <w:bCs w:val="false"/>
          <w:color w:val="auto"/>
          <w:lang w:val="en-GB" w:eastAsia="en-GB"/>
        </w:rPr>
      </w:r>
    </w:p>
    <w:p>
      <w:pPr>
        <w:pStyle w:val="Normal"/>
        <w:spacing w:before="0" w:after="0"/>
        <w:jc w:val="both"/>
        <w:rPr>
          <w:bCs w:val="false"/>
          <w:color w:val="auto"/>
          <w:lang w:val="en-GB" w:eastAsia="en-GB"/>
        </w:rPr>
      </w:pPr>
      <w:r>
        <w:rPr>
          <w:bCs w:val="false"/>
          <w:color w:val="auto"/>
          <w:lang w:val="en-GB" w:eastAsia="en-GB"/>
        </w:rPr>
      </w:r>
    </w:p>
    <w:p>
      <w:pPr>
        <w:pStyle w:val="Normal"/>
        <w:spacing w:before="0" w:after="0"/>
        <w:jc w:val="both"/>
        <w:rPr>
          <w:bCs w:val="false"/>
          <w:color w:val="auto"/>
          <w:lang w:val="en-GB" w:eastAsia="en-GB"/>
        </w:rPr>
      </w:pPr>
      <w:r>
        <w:rPr>
          <w:bCs w:val="false"/>
          <w:color w:val="auto"/>
          <w:lang w:val="en-GB" w:eastAsia="en-GB"/>
        </w:rPr>
      </w:r>
    </w:p>
    <w:p>
      <w:pPr>
        <w:pStyle w:val="Heading2"/>
        <w:spacing w:lineRule="auto" w:line="360"/>
        <w:jc w:val="both"/>
        <w:rPr/>
      </w:pPr>
      <w:r>
        <w:rPr/>
        <w:t>Behaviour, Safety and Safeguarding</w:t>
      </w:r>
    </w:p>
    <w:p>
      <w:pPr>
        <w:pStyle w:val="Normal"/>
        <w:numPr>
          <w:ilvl w:val="0"/>
          <w:numId w:val="6"/>
        </w:numPr>
        <w:spacing w:before="28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Maintain a safe, structured and supportive learning environment </w:t>
      </w:r>
    </w:p>
    <w:p>
      <w:pPr>
        <w:pStyle w:val="Normal"/>
        <w:numPr>
          <w:ilvl w:val="0"/>
          <w:numId w:val="6"/>
        </w:numPr>
        <w:spacing w:before="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Ensure the safety, wellbeing and dignity of all pupils are prioritised at all times </w:t>
      </w:r>
    </w:p>
    <w:p>
      <w:pPr>
        <w:pStyle w:val="Normal"/>
        <w:numPr>
          <w:ilvl w:val="0"/>
          <w:numId w:val="6"/>
        </w:numPr>
        <w:spacing w:before="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Promote positive behaviour in line with school policy </w:t>
      </w:r>
    </w:p>
    <w:p>
      <w:pPr>
        <w:pStyle w:val="Normal"/>
        <w:numPr>
          <w:ilvl w:val="0"/>
          <w:numId w:val="6"/>
        </w:numPr>
        <w:spacing w:before="0" w:after="28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>Safeguard pupils in accordance with Keeping Children Safe in Education and Trust procedures</w:t>
      </w:r>
    </w:p>
    <w:p>
      <w:pPr>
        <w:pStyle w:val="Normal"/>
        <w:spacing w:before="0" w:after="0"/>
        <w:jc w:val="both"/>
        <w:rPr>
          <w:bCs w:val="false"/>
          <w:color w:val="auto"/>
          <w:lang w:val="en-GB" w:eastAsia="en-GB"/>
        </w:rPr>
      </w:pPr>
      <w:r>
        <w:rPr>
          <w:bCs w:val="false"/>
          <w:color w:val="auto"/>
          <w:lang w:val="en-GB" w:eastAsia="en-GB"/>
        </w:rPr>
      </w:r>
    </w:p>
    <w:p>
      <w:pPr>
        <w:pStyle w:val="Heading2"/>
        <w:spacing w:lineRule="auto" w:line="360"/>
        <w:jc w:val="both"/>
        <w:rPr/>
      </w:pPr>
      <w:r>
        <w:rPr/>
        <w:t>Quality Assurance and School Improvement</w:t>
      </w:r>
    </w:p>
    <w:p>
      <w:pPr>
        <w:pStyle w:val="Normal"/>
        <w:numPr>
          <w:ilvl w:val="0"/>
          <w:numId w:val="5"/>
        </w:numPr>
        <w:spacing w:before="28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Contribute to school self-evaluation and improvement planning </w:t>
      </w:r>
    </w:p>
    <w:p>
      <w:pPr>
        <w:pStyle w:val="Normal"/>
        <w:numPr>
          <w:ilvl w:val="0"/>
          <w:numId w:val="5"/>
        </w:numPr>
        <w:spacing w:before="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Engage with processes and systems for monitoring and evaluation, including lesson observations, work scrutiny and data reviews </w:t>
      </w:r>
    </w:p>
    <w:p>
      <w:pPr>
        <w:pStyle w:val="Normal"/>
        <w:numPr>
          <w:ilvl w:val="0"/>
          <w:numId w:val="5"/>
        </w:numPr>
        <w:spacing w:before="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Support the implementation of school improvement strategies </w:t>
      </w:r>
    </w:p>
    <w:p>
      <w:pPr>
        <w:pStyle w:val="Normal"/>
        <w:numPr>
          <w:ilvl w:val="0"/>
          <w:numId w:val="5"/>
        </w:numPr>
        <w:spacing w:before="0" w:after="28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Reflect on and improve own practice in line with feedback and CPD </w:t>
      </w:r>
    </w:p>
    <w:p>
      <w:pPr>
        <w:pStyle w:val="Normal"/>
        <w:spacing w:before="0" w:after="0"/>
        <w:jc w:val="both"/>
        <w:rPr>
          <w:bCs w:val="false"/>
          <w:color w:val="auto"/>
          <w:lang w:val="en-GB" w:eastAsia="en-GB"/>
        </w:rPr>
      </w:pPr>
      <w:r>
        <w:rPr>
          <w:bCs w:val="false"/>
          <w:color w:val="auto"/>
          <w:lang w:val="en-GB" w:eastAsia="en-GB"/>
        </w:rPr>
      </w:r>
    </w:p>
    <w:p>
      <w:pPr>
        <w:pStyle w:val="Heading2"/>
        <w:spacing w:lineRule="auto" w:line="360"/>
        <w:jc w:val="both"/>
        <w:rPr/>
      </w:pPr>
      <w:r>
        <w:rPr/>
        <w:t>Teamwork and Professional Practice</w:t>
      </w:r>
    </w:p>
    <w:p>
      <w:pPr>
        <w:pStyle w:val="ListParagraph"/>
        <w:numPr>
          <w:ilvl w:val="0"/>
          <w:numId w:val="4"/>
        </w:numPr>
        <w:spacing w:before="280" w:after="0"/>
        <w:contextualSpacing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Work effectively within and across teams, including Teaching Assistants, therapists and external professionals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Contribute to or lead collaborative initiatives and partnerships to improve outcomes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Fulfil professional duties in line with the School Teachers' Pay and Conditions Document </w:t>
      </w:r>
    </w:p>
    <w:p>
      <w:pPr>
        <w:pStyle w:val="ListParagraph"/>
        <w:numPr>
          <w:ilvl w:val="0"/>
          <w:numId w:val="4"/>
        </w:numPr>
        <w:spacing w:before="0" w:after="280"/>
        <w:contextualSpacing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Participate fully in CPD, appraisal and Trust-wide development </w:t>
      </w:r>
    </w:p>
    <w:p>
      <w:pPr>
        <w:pStyle w:val="Normal"/>
        <w:spacing w:before="0" w:after="0"/>
        <w:jc w:val="both"/>
        <w:rPr>
          <w:bCs w:val="false"/>
          <w:color w:val="auto"/>
          <w:lang w:val="en-GB" w:eastAsia="en-GB"/>
        </w:rPr>
      </w:pPr>
      <w:r>
        <w:rPr>
          <w:bCs w:val="false"/>
          <w:color w:val="auto"/>
          <w:lang w:val="en-GB" w:eastAsia="en-GB"/>
        </w:rPr>
      </w:r>
    </w:p>
    <w:p>
      <w:pPr>
        <w:pStyle w:val="Heading2"/>
        <w:spacing w:lineRule="auto" w:line="360"/>
        <w:jc w:val="both"/>
        <w:rPr/>
      </w:pPr>
      <w:r>
        <w:rPr/>
        <w:t>Resources and Subject Development</w:t>
      </w:r>
    </w:p>
    <w:p>
      <w:pPr>
        <w:pStyle w:val="Normal"/>
        <w:numPr>
          <w:ilvl w:val="0"/>
          <w:numId w:val="3"/>
        </w:numPr>
        <w:spacing w:before="28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Plan, manage and deploy resources effectively to support high-quality teaching </w:t>
      </w:r>
    </w:p>
    <w:p>
      <w:pPr>
        <w:pStyle w:val="Normal"/>
        <w:numPr>
          <w:ilvl w:val="0"/>
          <w:numId w:val="3"/>
        </w:numPr>
        <w:spacing w:before="0" w:after="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 xml:space="preserve">Contribute to the development of the ICT/Computing subject area, including the use of assistive and adaptive technologies </w:t>
      </w:r>
    </w:p>
    <w:p>
      <w:pPr>
        <w:pStyle w:val="Normal"/>
        <w:numPr>
          <w:ilvl w:val="0"/>
          <w:numId w:val="3"/>
        </w:numPr>
        <w:spacing w:before="0" w:after="280"/>
        <w:jc w:val="both"/>
        <w:rPr>
          <w:bCs w:val="false"/>
          <w:color w:val="585857"/>
          <w:lang w:val="en-GB" w:eastAsia="en-GB"/>
        </w:rPr>
      </w:pPr>
      <w:r>
        <w:rPr>
          <w:bCs w:val="false"/>
          <w:color w:val="585857"/>
          <w:lang w:val="en-GB" w:eastAsia="en-GB"/>
        </w:rPr>
        <w:t>Support the application of computing in subject leadership and wider school practice</w:t>
      </w:r>
    </w:p>
    <w:p>
      <w:pPr>
        <w:pStyle w:val="Normal"/>
        <w:numPr>
          <w:ilvl w:val="0"/>
          <w:numId w:val="0"/>
        </w:numPr>
        <w:spacing w:lineRule="auto" w:line="240"/>
        <w:ind w:left="0" w:hanging="0"/>
        <w:rPr>
          <w:rFonts w:ascii="Century Gothic" w:hAnsi="Century Gothic" w:cs="Century Gothic"/>
          <w:b/>
          <w:b/>
          <w:color w:val="0C9DD9"/>
          <w:sz w:val="22"/>
          <w:lang w:val="en-GB" w:eastAsia="en-GB"/>
        </w:rPr>
      </w:pPr>
      <w:r>
        <w:rPr>
          <w:rFonts w:cs="Century Gothic" w:ascii="Century Gothic" w:hAnsi="Century Gothic"/>
          <w:b/>
          <w:color w:val="0C9DD9"/>
          <w:sz w:val="22"/>
          <w:lang w:val="en-GB" w:eastAsia="en-GB"/>
        </w:rPr>
      </w:r>
    </w:p>
    <w:p>
      <w:pPr>
        <w:pStyle w:val="Normal"/>
        <w:numPr>
          <w:ilvl w:val="0"/>
          <w:numId w:val="0"/>
        </w:numPr>
        <w:spacing w:lineRule="auto" w:line="240"/>
        <w:ind w:left="0" w:hanging="0"/>
        <w:rPr>
          <w:rFonts w:ascii="Century Gothic" w:hAnsi="Century Gothic" w:cs="Century Gothic"/>
          <w:b/>
          <w:b/>
          <w:color w:val="0C9DD9"/>
          <w:sz w:val="22"/>
          <w:lang w:val="en-GB" w:eastAsia="en-GB"/>
        </w:rPr>
      </w:pPr>
      <w:r>
        <w:rPr>
          <w:rFonts w:cs="Century Gothic" w:ascii="Century Gothic" w:hAnsi="Century Gothic"/>
          <w:b/>
          <w:color w:val="0C9DD9"/>
          <w:sz w:val="22"/>
          <w:lang w:val="en-GB" w:eastAsia="en-GB"/>
        </w:rPr>
      </w:r>
    </w:p>
    <w:p>
      <w:pPr>
        <w:pStyle w:val="Normal"/>
        <w:numPr>
          <w:ilvl w:val="0"/>
          <w:numId w:val="0"/>
        </w:numPr>
        <w:spacing w:lineRule="auto" w:line="240"/>
        <w:ind w:left="0" w:hanging="0"/>
        <w:rPr>
          <w:rFonts w:ascii="Century Gothic" w:hAnsi="Century Gothic" w:cs="Century Gothic"/>
          <w:b/>
          <w:b/>
          <w:color w:val="0C9DD9"/>
          <w:sz w:val="22"/>
          <w:lang w:val="en-GB" w:eastAsia="en-GB"/>
        </w:rPr>
      </w:pPr>
      <w:r>
        <w:rPr>
          <w:rFonts w:cs="Century Gothic" w:ascii="Century Gothic" w:hAnsi="Century Gothic"/>
          <w:b/>
          <w:color w:val="0C9DD9"/>
          <w:sz w:val="22"/>
          <w:lang w:val="en-GB" w:eastAsia="en-GB"/>
        </w:rPr>
      </w:r>
    </w:p>
    <w:p>
      <w:pPr>
        <w:pStyle w:val="Normal"/>
        <w:numPr>
          <w:ilvl w:val="0"/>
          <w:numId w:val="0"/>
        </w:numPr>
        <w:spacing w:lineRule="auto" w:line="240"/>
        <w:ind w:left="0" w:hanging="0"/>
        <w:rPr>
          <w:rFonts w:ascii="Century Gothic" w:hAnsi="Century Gothic" w:cs="Century Gothic"/>
          <w:b/>
          <w:b/>
          <w:color w:val="0C9DD9"/>
          <w:sz w:val="22"/>
          <w:lang w:val="en-GB" w:eastAsia="en-GB"/>
        </w:rPr>
      </w:pPr>
      <w:r>
        <w:rPr>
          <w:rFonts w:cs="Century Gothic" w:ascii="Century Gothic" w:hAnsi="Century Gothic"/>
          <w:b/>
          <w:color w:val="0C9DD9"/>
          <w:sz w:val="22"/>
          <w:lang w:val="en-GB" w:eastAsia="en-GB"/>
        </w:rPr>
      </w:r>
    </w:p>
    <w:p>
      <w:pPr>
        <w:pStyle w:val="Normal"/>
        <w:numPr>
          <w:ilvl w:val="0"/>
          <w:numId w:val="0"/>
        </w:numPr>
        <w:spacing w:lineRule="auto" w:line="240"/>
        <w:ind w:left="0" w:hanging="0"/>
        <w:rPr>
          <w:rFonts w:ascii="Century Gothic" w:hAnsi="Century Gothic" w:cs="Century Gothic"/>
          <w:b/>
          <w:b/>
          <w:color w:val="0C9DD9"/>
          <w:sz w:val="22"/>
          <w:lang w:val="en-GB" w:eastAsia="en-GB"/>
        </w:rPr>
      </w:pPr>
      <w:r>
        <w:rPr>
          <w:rFonts w:cs="Century Gothic" w:ascii="Century Gothic" w:hAnsi="Century Gothic"/>
          <w:b/>
          <w:color w:val="0C9DD9"/>
          <w:sz w:val="22"/>
          <w:lang w:val="en-GB" w:eastAsia="en-GB"/>
        </w:rPr>
      </w:r>
    </w:p>
    <w:p>
      <w:pPr>
        <w:pStyle w:val="Normal"/>
        <w:numPr>
          <w:ilvl w:val="0"/>
          <w:numId w:val="0"/>
        </w:numPr>
        <w:spacing w:lineRule="auto" w:line="240"/>
        <w:ind w:left="0" w:hanging="0"/>
        <w:rPr>
          <w:rFonts w:ascii="Century Gothic" w:hAnsi="Century Gothic" w:cs="Century Gothic"/>
          <w:b/>
          <w:b/>
          <w:color w:val="0C9DD9"/>
          <w:sz w:val="22"/>
          <w:lang w:val="en-GB" w:eastAsia="en-GB"/>
        </w:rPr>
      </w:pPr>
      <w:r>
        <w:rPr>
          <w:rFonts w:cs="Century Gothic" w:ascii="Century Gothic" w:hAnsi="Century Gothic"/>
          <w:b/>
          <w:color w:val="0C9DD9"/>
          <w:sz w:val="22"/>
          <w:lang w:val="en-GB" w:eastAsia="en-GB"/>
        </w:rPr>
      </w:r>
    </w:p>
    <w:p>
      <w:pPr>
        <w:pStyle w:val="Heading2"/>
        <w:rPr/>
      </w:pPr>
      <w:r>
        <w:rPr/>
        <w:t xml:space="preserve">Person Specification </w:t>
      </w:r>
    </w:p>
    <w:p>
      <w:pPr>
        <w:pStyle w:val="Normal"/>
        <w:numPr>
          <w:ilvl w:val="0"/>
          <w:numId w:val="0"/>
        </w:numPr>
        <w:spacing w:lineRule="auto" w:line="240"/>
        <w:ind w:left="0" w:hanging="0"/>
        <w:rPr>
          <w:rFonts w:ascii="Century Gothic" w:hAnsi="Century Gothic" w:cs="Century Gothic"/>
          <w:b/>
          <w:b/>
          <w:color w:val="0C9DD9"/>
          <w:sz w:val="22"/>
          <w:lang w:val="en-GB" w:eastAsia="en-GB"/>
        </w:rPr>
      </w:pPr>
      <w:r>
        <w:rPr>
          <w:rFonts w:cs="Century Gothic" w:ascii="Century Gothic" w:hAnsi="Century Gothic"/>
          <w:b/>
          <w:color w:val="0C9DD9"/>
          <w:sz w:val="22"/>
          <w:lang w:val="en-GB" w:eastAsia="en-GB"/>
        </w:rPr>
      </w:r>
    </w:p>
    <w:tbl>
      <w:tblPr>
        <w:tblW w:w="97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3829"/>
        <w:gridCol w:w="2835"/>
        <w:gridCol w:w="425"/>
        <w:gridCol w:w="426"/>
        <w:gridCol w:w="506"/>
      </w:tblGrid>
      <w:tr>
        <w:trPr>
          <w:trHeight w:val="1459" w:hRule="atLeast"/>
          <w:cantSplit w:val="true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360" w:before="0" w:after="240"/>
              <w:rPr>
                <w:rFonts w:eastAsia="Arial" w:cs="Arial"/>
                <w:b/>
                <w:b/>
                <w:color w:val="4F5252"/>
                <w:lang w:val="en-GB" w:eastAsia="en-GB"/>
              </w:rPr>
            </w:pPr>
            <w:r>
              <w:rPr>
                <w:rFonts w:eastAsia="Arial" w:cs="Arial"/>
                <w:b/>
                <w:color w:val="4F5252"/>
                <w:lang w:val="en-GB" w:eastAsia="en-GB"/>
              </w:rPr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eastAsia="Arial" w:cs="Arial"/>
                <w:b/>
                <w:b/>
                <w:color w:val="4F5252"/>
                <w:lang w:val="en-GB" w:eastAsia="en-GB"/>
              </w:rPr>
            </w:pPr>
            <w:r>
              <w:rPr>
                <w:rFonts w:eastAsia="Arial" w:cs="Arial"/>
                <w:b/>
                <w:color w:val="4F5252"/>
                <w:lang w:val="en-GB" w:eastAsia="en-GB"/>
              </w:rPr>
              <w:t>Essential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eastAsia="Arial" w:cs="Arial"/>
                <w:b/>
                <w:b/>
                <w:color w:val="4F5252"/>
                <w:lang w:val="en-GB" w:eastAsia="en-GB"/>
              </w:rPr>
            </w:pPr>
            <w:r>
              <w:rPr>
                <w:rFonts w:eastAsia="Arial" w:cs="Arial"/>
                <w:b/>
                <w:color w:val="4F5252"/>
                <w:lang w:val="en-GB" w:eastAsia="en-GB"/>
              </w:rPr>
              <w:t>Desirable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360" w:before="0" w:after="240"/>
              <w:ind w:left="113" w:right="113" w:hanging="0"/>
              <w:rPr>
                <w:rFonts w:eastAsia="Arial" w:cs="Arial"/>
                <w:b/>
                <w:b/>
                <w:color w:val="4F5252"/>
                <w:lang w:val="en-GB" w:eastAsia="en-GB"/>
              </w:rPr>
            </w:pPr>
            <w:r>
              <w:rPr>
                <w:rFonts w:eastAsia="Arial" w:cs="Arial"/>
                <w:b/>
                <w:color w:val="4F5252"/>
                <w:lang w:val="en-GB" w:eastAsia="en-GB"/>
              </w:rPr>
              <w:t xml:space="preserve">Application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360" w:before="0" w:after="240"/>
              <w:ind w:left="113" w:right="113" w:hanging="0"/>
              <w:rPr>
                <w:rFonts w:eastAsia="Arial" w:cs="Arial"/>
                <w:b/>
                <w:b/>
                <w:color w:val="4F5252"/>
                <w:lang w:val="en-GB" w:eastAsia="en-GB"/>
              </w:rPr>
            </w:pPr>
            <w:r>
              <w:rPr>
                <w:rFonts w:eastAsia="Arial" w:cs="Arial"/>
                <w:b/>
                <w:color w:val="4F5252"/>
                <w:lang w:val="en-GB" w:eastAsia="en-GB"/>
              </w:rPr>
              <w:t>Observation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360" w:before="0" w:after="240"/>
              <w:ind w:left="113" w:right="113" w:hanging="0"/>
              <w:rPr>
                <w:rFonts w:eastAsia="Arial" w:cs="Arial"/>
                <w:b/>
                <w:b/>
                <w:color w:val="4F5252"/>
                <w:lang w:val="en-GB" w:eastAsia="en-GB"/>
              </w:rPr>
            </w:pPr>
            <w:r>
              <w:rPr>
                <w:rFonts w:eastAsia="Arial" w:cs="Arial"/>
                <w:b/>
                <w:color w:val="4F5252"/>
                <w:lang w:val="en-GB" w:eastAsia="en-GB"/>
              </w:rPr>
              <w:t>Interview</w:t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Qualifications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An undergraduate degree in a relevant subject area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Qualified teacher status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Additional CPD undertaken specifically on supporting pupils with SEN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ICT Qualification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SEN specialism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Knowledge and understanding of a trauma-informed way of working in schools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 knowledge and understanding of working with SEND students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Attachment awareness and the ability to put knowledge into practice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Experience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Experience or expertise in SEN starting at Entry Level qualifications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Experience of maintaining a high-quality, safe and stimulating learning environment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Ability to teach using a wide variety of strategies to maximise achievement for all children, including those with special educational needs and high achievers and to meet differing learning styles.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Experience in creating and maintaining effective partnerships with parents to support pupils’ learning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Experience of working up to GCSE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Experience of using de-escalation strategies outlined by Team Teach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Specific examples of maintaining high expectations to allow all pupils to fulfil their full potential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Professional Understanding, Knowledge and Skills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Have the ability to assess and record the progress of pupils’ learning to inform next steps and monitor progress.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To be able to analyse data to set targets and next steps to achieve SMART targets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An in-depth knowledge and understanding of safeguarding and how to promote the wellbeing of pupils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Awareness of the Education Acts and the SEND Code of Practice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Experience of working with other agencies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Experience of working collaboratively with other schools, universities and organisations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Sound knowledge of assessment in ICT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Knowledge of how the curriculum can be adapted to meet the needs of pupils with a range of SEN relevant to the age range of the school, including assessment, recording and reporting</w:t>
            </w:r>
          </w:p>
          <w:p>
            <w:pPr>
              <w:pStyle w:val="Normal"/>
              <w:spacing w:lineRule="auto" w:line="360" w:before="0" w:after="240"/>
              <w:ind w:left="360" w:right="0" w:hanging="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Teaching and Learning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A passion for working with young children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Practical understanding of effective teaching and evaluation strategies for pupils with SEN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Recent experience of teaching in KS3 and KS4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Able to adapt learning objectives to meet the needs of all levels of ability in the class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Proactive in solving problems-being solution-focused during lessons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Creative in approach to planning and delivering lessons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Able to manage pupil behaviour effectively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Able to use ICT to advance pupils’ learning, and use common ICT tools for their own and pupils’ benefit.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Successful and sustained teaching experience across relevant key stages</w:t>
            </w:r>
          </w:p>
          <w:p>
            <w:pPr>
              <w:pStyle w:val="Normal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Leadership and Management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Able to manage a class effectively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Have experience of deploying TAs to accelerate pupils' progress in all areas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/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Able to motivate pupils and staff, setting high</w:t>
            </w:r>
            <w:r>
              <w:rPr>
                <w:rFonts w:eastAsia="Arial" w:cs="Arial"/>
                <w:bCs w:val="false"/>
                <w:color w:val="4F5252"/>
              </w:rPr>
              <w:t xml:space="preserve"> </w:t>
            </w: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standards and providing a focus for improvement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Hold aspirations for future career development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Professional values, qualities and skills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Hold high levels of emotional intelligence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Able to establish and develop good relationships with all those involved in the school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Able to work effectively as a team member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Ability to communicate effectively in writing and orally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Flexible and approachable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Resilient under pressure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Able to deal sensitively with people and resolve conflicts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High levels of energy and enthusiasm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A good sense of humour and ability to find solutions in challenging circumstances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>Bring personal interests and enthusiasms to the school community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360" w:before="0" w:after="240"/>
              <w:contextualSpacing/>
              <w:rPr>
                <w:rFonts w:eastAsia="Arial" w:cs="Arial"/>
                <w:bCs w:val="false"/>
                <w:color w:val="4F5252"/>
                <w:lang w:val="en-GB" w:eastAsia="en-GB"/>
              </w:rPr>
            </w:pPr>
            <w:r>
              <w:rPr>
                <w:rFonts w:eastAsia="Arial" w:cs="Arial"/>
                <w:bCs w:val="false"/>
                <w:color w:val="4F5252"/>
                <w:lang w:val="en-GB" w:eastAsia="en-GB"/>
              </w:rPr>
              <w:t xml:space="preserve">Ambitious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40"/>
              <w:rPr>
                <w:rFonts w:ascii="Wingdings" w:hAnsi="Wingdings" w:eastAsia="Wingdings" w:cs="Wingdings"/>
                <w:bCs w:val="false"/>
                <w:color w:val="4F5252"/>
                <w:lang w:val="en-GB" w:eastAsia="en-GB"/>
              </w:rPr>
            </w:pPr>
            <w:r>
              <w:rPr>
                <w:rFonts w:eastAsia="Wingdings" w:cs="Wingdings" w:ascii="Wingdings" w:hAnsi="Wingdings"/>
                <w:bCs w:val="false"/>
                <w:color w:val="4F5252"/>
                <w:lang w:val="en-GB" w:eastAsia="en-GB"/>
              </w:rPr>
              <w:t></w:t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240"/>
        <w:ind w:left="0" w:hanging="0"/>
        <w:rPr>
          <w:bCs w:val="false"/>
          <w:u w:val="single"/>
          <w:lang w:val="en-GB" w:eastAsia="en-GB"/>
        </w:rPr>
      </w:pPr>
      <w:r>
        <w:rPr>
          <w:bCs w:val="false"/>
          <w:u w:val="single"/>
          <w:lang w:val="en-GB" w:eastAsia="en-GB"/>
        </w:rPr>
      </w:r>
    </w:p>
    <w:p>
      <w:pPr>
        <w:pStyle w:val="Normal"/>
        <w:numPr>
          <w:ilvl w:val="0"/>
          <w:numId w:val="0"/>
        </w:numPr>
        <w:spacing w:lineRule="auto" w:line="240"/>
        <w:ind w:left="0" w:hanging="0"/>
        <w:jc w:val="center"/>
        <w:rPr/>
      </w:pPr>
      <w:r>
        <w:rPr/>
        <w:t>This job description may be amended to reflect the evolving needs of the academy and Trust.</w:t>
      </w:r>
    </w:p>
    <w:p>
      <w:pPr>
        <w:pStyle w:val="Normal"/>
        <w:tabs>
          <w:tab w:val="clear" w:pos="720"/>
          <w:tab w:val="left" w:pos="7755" w:leader="none"/>
        </w:tabs>
        <w:spacing w:before="0" w:after="0"/>
        <w:jc w:val="both"/>
        <w:rPr/>
      </w:pPr>
      <w:r>
        <w:rPr/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w="11906" w:h="16838"/>
      <w:pgMar w:left="1163" w:right="1021" w:header="720" w:top="1497" w:footer="217" w:bottom="1094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entury Gothic">
    <w:charset w:val="00"/>
    <w:family w:val="roman"/>
    <w:pitch w:val="variable"/>
  </w:font>
  <w:font w:name="Courier New">
    <w:charset w:val="01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0"/>
    <w:family w:val="swiss"/>
    <w:pitch w:val="variable"/>
  </w:font>
  <w:font w:name="Times">
    <w:altName w:val="Times New Roman"/>
    <w:charset w:val="00"/>
    <w:family w:val="roman"/>
    <w:pitch w:val="variable"/>
  </w:font>
  <w:font w:name="Wingdings">
    <w:charset w:val="0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BasicParagraph"/>
      <w:spacing w:before="0" w:after="113"/>
      <w:jc w:val="right"/>
      <w:rPr>
        <w:rFonts w:ascii="Century Gothic" w:hAnsi="Century Gothic" w:cs="Century Gothic"/>
        <w:b/>
        <w:b/>
        <w:bCs/>
        <w:color w:val="13A64C"/>
        <w:spacing w:val="-2"/>
        <w:sz w:val="28"/>
        <w:szCs w:val="28"/>
      </w:rPr>
    </w:pPr>
    <w:r>
      <w:drawing>
        <wp:anchor behindDoc="1" distT="0" distB="0" distL="0" distR="0" simplePos="0" locked="0" layoutInCell="1" allowOverlap="1" relativeHeight="11">
          <wp:simplePos x="0" y="0"/>
          <wp:positionH relativeFrom="margin">
            <wp:posOffset>-737235</wp:posOffset>
          </wp:positionH>
          <wp:positionV relativeFrom="margin">
            <wp:posOffset>7113905</wp:posOffset>
          </wp:positionV>
          <wp:extent cx="5594985" cy="2627630"/>
          <wp:effectExtent l="0" t="0" r="0" b="0"/>
          <wp:wrapNone/>
          <wp:docPr id="2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" t="-3" r="-2" b="-3"/>
                  <a:stretch>
                    <a:fillRect/>
                  </a:stretch>
                </pic:blipFill>
                <pic:spPr bwMode="auto">
                  <a:xfrm>
                    <a:off x="0" y="0"/>
                    <a:ext cx="5594985" cy="2627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entury Gothic" w:ascii="Century Gothic" w:hAnsi="Century Gothic"/>
        <w:b/>
        <w:bCs/>
        <w:color w:val="13A64C"/>
        <w:spacing w:val="-2"/>
        <w:sz w:val="28"/>
        <w:szCs w:val="28"/>
      </w:rPr>
      <w:t>t</w:t>
    </w:r>
    <w:r>
      <w:rPr>
        <w:rFonts w:cs="Century Gothic" w:ascii="Century Gothic" w:hAnsi="Century Gothic"/>
        <w:b/>
        <w:bCs/>
        <w:color w:val="13A64C"/>
        <w:spacing w:val="-2"/>
        <w:sz w:val="28"/>
        <w:szCs w:val="28"/>
      </w:rPr>
      <w:t>hesovereigntrust.uk</w:t>
    </w:r>
  </w:p>
  <w:p>
    <w:pPr>
      <w:pStyle w:val="BasicParagraph"/>
      <w:spacing w:lineRule="auto" w:line="360"/>
      <w:jc w:val="right"/>
      <w:rPr/>
    </w:pPr>
    <w:r>
      <w:rPr>
        <w:rFonts w:cs="Arial" w:ascii="Arial" w:hAnsi="Arial"/>
        <w:color w:val="4F5252"/>
        <w:spacing w:val="-2"/>
        <w:sz w:val="21"/>
        <w:szCs w:val="21"/>
      </w:rPr>
      <w:t xml:space="preserve">Tel: 0161 532 3250  </w:t>
    </w:r>
    <w:r>
      <w:rPr>
        <w:rFonts w:cs="Arial" w:ascii="Arial" w:hAnsi="Arial"/>
        <w:color w:val="FFC927"/>
        <w:spacing w:val="-2"/>
        <w:sz w:val="21"/>
        <w:szCs w:val="21"/>
      </w:rPr>
      <w:t>|</w:t>
    </w:r>
    <w:r>
      <w:rPr>
        <w:rFonts w:cs="Arial" w:ascii="Arial" w:hAnsi="Arial"/>
        <w:color w:val="585857"/>
        <w:spacing w:val="-2"/>
        <w:sz w:val="21"/>
        <w:szCs w:val="21"/>
      </w:rPr>
      <w:t xml:space="preserve">  </w:t>
    </w:r>
    <w:r>
      <w:rPr>
        <w:rFonts w:cs="Arial" w:ascii="Arial" w:hAnsi="Arial"/>
        <w:color w:val="4F5252"/>
        <w:spacing w:val="-2"/>
        <w:sz w:val="21"/>
        <w:szCs w:val="21"/>
      </w:rPr>
      <w:t>admin</w:t>
    </w:r>
    <w:r>
      <w:rPr>
        <w:rFonts w:cs="Arial" w:ascii="Arial" w:hAnsi="Arial"/>
        <w:color w:val="4F5252"/>
        <w:spacing w:val="-2"/>
        <w:sz w:val="18"/>
        <w:szCs w:val="18"/>
      </w:rPr>
      <w:t>@</w:t>
    </w:r>
    <w:r>
      <w:rPr>
        <w:rFonts w:cs="Arial" w:ascii="Arial" w:hAnsi="Arial"/>
        <w:color w:val="4F5252"/>
        <w:spacing w:val="-2"/>
        <w:sz w:val="21"/>
        <w:szCs w:val="21"/>
      </w:rPr>
      <w:t xml:space="preserve">thesovereigntrust.uk </w:t>
    </w:r>
    <w:r>
      <w:rPr>
        <w:rFonts w:cs="Arial" w:ascii="Arial" w:hAnsi="Arial"/>
        <w:color w:val="585857"/>
        <w:spacing w:val="-2"/>
        <w:sz w:val="21"/>
        <w:szCs w:val="21"/>
      </w:rPr>
      <w:t xml:space="preserve"> </w:t>
    </w:r>
    <w:r>
      <w:rPr>
        <w:rFonts w:cs="Arial" w:ascii="Arial" w:hAnsi="Arial"/>
        <w:color w:val="FFC927"/>
        <w:spacing w:val="-2"/>
        <w:sz w:val="21"/>
        <w:szCs w:val="21"/>
      </w:rPr>
      <w:t>|</w:t>
    </w:r>
    <w:r>
      <w:rPr>
        <w:rFonts w:cs="Arial" w:ascii="Arial" w:hAnsi="Arial"/>
        <w:color w:val="585857"/>
        <w:spacing w:val="-2"/>
        <w:sz w:val="21"/>
        <w:szCs w:val="21"/>
      </w:rPr>
      <w:t xml:space="preserve">  </w:t>
    </w:r>
    <w:r>
      <w:rPr/>
      <w:drawing>
        <wp:inline distT="0" distB="0" distL="0" distR="0">
          <wp:extent cx="123190" cy="99695"/>
          <wp:effectExtent l="0" t="0" r="0" b="0"/>
          <wp:docPr id="3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6" t="-7" r="-6" b="-7"/>
                  <a:stretch>
                    <a:fillRect/>
                  </a:stretch>
                </pic:blipFill>
                <pic:spPr bwMode="auto">
                  <a:xfrm>
                    <a:off x="0" y="0"/>
                    <a:ext cx="123190" cy="99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 w:ascii="Arial" w:hAnsi="Arial"/>
        <w:color w:val="4F5252"/>
        <w:spacing w:val="-2"/>
        <w:sz w:val="18"/>
        <w:szCs w:val="18"/>
      </w:rPr>
      <w:t>@</w:t>
    </w:r>
    <w:r>
      <w:rPr>
        <w:rFonts w:cs="Arial" w:ascii="Arial" w:hAnsi="Arial"/>
        <w:color w:val="4F5252"/>
        <w:spacing w:val="-2"/>
        <w:sz w:val="21"/>
        <w:szCs w:val="21"/>
      </w:rPr>
      <w:t>TheSovTrust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BasicParagraph"/>
      <w:spacing w:before="0" w:after="113"/>
      <w:jc w:val="right"/>
      <w:rPr>
        <w:rFonts w:ascii="Century Gothic" w:hAnsi="Century Gothic" w:cs="Century Gothic"/>
        <w:b/>
        <w:b/>
        <w:bCs/>
        <w:color w:val="13A64C"/>
        <w:spacing w:val="-2"/>
        <w:sz w:val="28"/>
        <w:szCs w:val="28"/>
      </w:rPr>
    </w:pPr>
    <w:r>
      <w:drawing>
        <wp:anchor behindDoc="1" distT="0" distB="0" distL="0" distR="0" simplePos="0" locked="0" layoutInCell="1" allowOverlap="1" relativeHeight="6">
          <wp:simplePos x="0" y="0"/>
          <wp:positionH relativeFrom="margin">
            <wp:posOffset>-740410</wp:posOffset>
          </wp:positionH>
          <wp:positionV relativeFrom="margin">
            <wp:posOffset>7114540</wp:posOffset>
          </wp:positionV>
          <wp:extent cx="5594985" cy="2627630"/>
          <wp:effectExtent l="0" t="0" r="0" b="0"/>
          <wp:wrapNone/>
          <wp:docPr id="4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" t="-3" r="-2" b="-3"/>
                  <a:stretch>
                    <a:fillRect/>
                  </a:stretch>
                </pic:blipFill>
                <pic:spPr bwMode="auto">
                  <a:xfrm>
                    <a:off x="0" y="0"/>
                    <a:ext cx="5594985" cy="2627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entury Gothic" w:ascii="Century Gothic" w:hAnsi="Century Gothic"/>
        <w:b/>
        <w:bCs/>
        <w:color w:val="13A64C"/>
        <w:spacing w:val="-2"/>
        <w:sz w:val="28"/>
        <w:szCs w:val="28"/>
      </w:rPr>
      <w:t>t</w:t>
    </w:r>
    <w:r>
      <w:rPr>
        <w:rFonts w:cs="Century Gothic" w:ascii="Century Gothic" w:hAnsi="Century Gothic"/>
        <w:b/>
        <w:bCs/>
        <w:color w:val="13A64C"/>
        <w:spacing w:val="-2"/>
        <w:sz w:val="28"/>
        <w:szCs w:val="28"/>
      </w:rPr>
      <w:t>hesovereigntrust.uk</w:t>
    </w:r>
    <w:bookmarkStart w:id="0" w:name="_Hlk135395054"/>
    <w:bookmarkEnd w:id="0"/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lineRule="auto" w:line="360" w:before="0" w:after="240"/>
      <w:jc w:val="left"/>
      <w:rPr/>
    </w:pPr>
    <w:r>
      <w:rPr/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4279265</wp:posOffset>
          </wp:positionH>
          <wp:positionV relativeFrom="paragraph">
            <wp:posOffset>15875</wp:posOffset>
          </wp:positionV>
          <wp:extent cx="2082800" cy="1065530"/>
          <wp:effectExtent l="0" t="0" r="0" b="0"/>
          <wp:wrapNone/>
          <wp:docPr id="1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6" t="-12" r="-6" b="-12"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1065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false"/>
        <w:rFonts w:cs="Symbol"/>
        <w:color w:val="1E9CD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b w:val="false"/>
        <w:rFonts w:cs="Symbol"/>
        <w:color w:val="00B0F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false"/>
        <w:rFonts w:cs="Symbol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b w:val="false"/>
        <w:rFonts w:cs="Symbol"/>
        <w:color w:val="00B0F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b w:val="false"/>
        <w:rFonts w:cs="Symbol"/>
        <w:color w:val="00B0F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false"/>
        <w:rFonts w:cs="Symbol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b w:val="false"/>
        <w:rFonts w:cs="Symbol"/>
        <w:color w:val="00B0F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360" w:before="0" w:after="240"/>
      <w:jc w:val="left"/>
    </w:pPr>
    <w:rPr>
      <w:rFonts w:ascii="Arial" w:hAnsi="Arial" w:eastAsia="Times New Roman" w:cs="Arial"/>
      <w:bCs/>
      <w:color w:val="4F5252"/>
      <w:kern w:val="0"/>
      <w:sz w:val="20"/>
      <w:szCs w:val="20"/>
      <w:lang w:val="en-US" w:eastAsia="en-US" w:bidi="ar-SA"/>
    </w:rPr>
  </w:style>
  <w:style w:type="paragraph" w:styleId="Heading1">
    <w:name w:val="Heading 1"/>
    <w:basedOn w:val="Normal"/>
    <w:next w:val="Normal"/>
    <w:qFormat/>
    <w:pPr>
      <w:numPr>
        <w:ilvl w:val="0"/>
        <w:numId w:val="1"/>
      </w:numPr>
      <w:spacing w:lineRule="auto" w:line="240" w:before="240" w:after="240"/>
      <w:outlineLvl w:val="0"/>
    </w:pPr>
    <w:rPr>
      <w:rFonts w:ascii="Century Gothic" w:hAnsi="Century Gothic" w:cs="Times New Roman"/>
      <w:b/>
      <w:color w:val="13A64C"/>
      <w:sz w:val="28"/>
      <w:szCs w:val="28"/>
      <w:lang w:val="en-GB" w:eastAsia="en-GB"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lineRule="auto" w:line="240"/>
      <w:outlineLvl w:val="1"/>
    </w:pPr>
    <w:rPr>
      <w:rFonts w:ascii="Century Gothic" w:hAnsi="Century Gothic" w:cs="Times New Roman"/>
      <w:b/>
      <w:color w:val="0C9DD9"/>
      <w:sz w:val="22"/>
      <w:lang w:val="en-GB" w:eastAsia="en-GB"/>
    </w:rPr>
  </w:style>
  <w:style w:type="paragraph" w:styleId="Heading3">
    <w:name w:val="Heading 3"/>
    <w:basedOn w:val="ReferenceIntroLineCenturyGothic"/>
    <w:next w:val="Normal"/>
    <w:qFormat/>
    <w:pPr>
      <w:numPr>
        <w:ilvl w:val="2"/>
        <w:numId w:val="1"/>
      </w:numPr>
      <w:outlineLvl w:val="2"/>
    </w:pPr>
    <w:rPr>
      <w:color w:val="D11317"/>
    </w:rPr>
  </w:style>
  <w:style w:type="character" w:styleId="WW8Num1z0">
    <w:name w:val="WW8Num1z0"/>
    <w:qFormat/>
    <w:rPr>
      <w:rFonts w:ascii="Symbol" w:hAnsi="Symbol" w:cs="Symbol"/>
      <w:b w:val="false"/>
      <w:color w:val="1E9CD8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Symbol" w:hAnsi="Symbol" w:cs="Symbol"/>
      <w:b w:val="false"/>
      <w:color w:val="00B0F0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WW8Num3z0">
    <w:name w:val="WW8Num3z0"/>
    <w:qFormat/>
    <w:rPr>
      <w:rFonts w:ascii="Symbol" w:hAnsi="Symbol" w:cs="Symbol"/>
      <w:b w:val="false"/>
      <w:color w:val="00B0F0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cs="Symbol"/>
      <w:b w:val="false"/>
      <w:color w:val="00B0F0"/>
      <w:sz w:val="20"/>
    </w:rPr>
  </w:style>
  <w:style w:type="character" w:styleId="WW8Num4z1">
    <w:name w:val="WW8Num4z1"/>
    <w:qFormat/>
    <w:rPr>
      <w:rFonts w:ascii="Courier New" w:hAnsi="Courier New" w:cs="Courier New"/>
      <w:sz w:val="20"/>
    </w:rPr>
  </w:style>
  <w:style w:type="character" w:styleId="WW8Num4z2">
    <w:name w:val="WW8Num4z2"/>
    <w:qFormat/>
    <w:rPr>
      <w:rFonts w:ascii="Wingdings" w:hAnsi="Wingdings" w:cs="Wingdings"/>
      <w:sz w:val="20"/>
    </w:rPr>
  </w:style>
  <w:style w:type="character" w:styleId="WW8Num5z0">
    <w:name w:val="WW8Num5z0"/>
    <w:qFormat/>
    <w:rPr>
      <w:rFonts w:ascii="Symbol" w:hAnsi="Symbol" w:cs="Symbol"/>
      <w:b w:val="false"/>
      <w:color w:val="00B0F0"/>
      <w:sz w:val="20"/>
    </w:rPr>
  </w:style>
  <w:style w:type="character" w:styleId="WW8Num5z1">
    <w:name w:val="WW8Num5z1"/>
    <w:qFormat/>
    <w:rPr>
      <w:rFonts w:ascii="Courier New" w:hAnsi="Courier New" w:cs="Courier New"/>
      <w:sz w:val="20"/>
    </w:rPr>
  </w:style>
  <w:style w:type="character" w:styleId="WW8Num5z2">
    <w:name w:val="WW8Num5z2"/>
    <w:qFormat/>
    <w:rPr>
      <w:rFonts w:ascii="Wingdings" w:hAnsi="Wingdings" w:cs="Wingdings"/>
      <w:sz w:val="20"/>
    </w:rPr>
  </w:style>
  <w:style w:type="character" w:styleId="WW8Num6z0">
    <w:name w:val="WW8Num6z0"/>
    <w:qFormat/>
    <w:rPr>
      <w:rFonts w:ascii="Symbol" w:hAnsi="Symbol" w:cs="Symbol"/>
      <w:b w:val="false"/>
      <w:color w:val="00B0F0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  <w:b w:val="false"/>
      <w:color w:val="00B0F0"/>
      <w:sz w:val="20"/>
    </w:rPr>
  </w:style>
  <w:style w:type="character" w:styleId="WW8Num7z1">
    <w:name w:val="WW8Num7z1"/>
    <w:qFormat/>
    <w:rPr>
      <w:rFonts w:ascii="Courier New" w:hAnsi="Courier New" w:cs="Courier New"/>
      <w:sz w:val="20"/>
    </w:rPr>
  </w:style>
  <w:style w:type="character" w:styleId="WW8Num7z2">
    <w:name w:val="WW8Num7z2"/>
    <w:qFormat/>
    <w:rPr>
      <w:rFonts w:ascii="Wingdings" w:hAnsi="Wingdings" w:cs="Wingdings"/>
      <w:sz w:val="20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DefaultParagraphFont">
    <w:name w:val="Default Paragraph Font"/>
    <w:qFormat/>
    <w:rPr/>
  </w:style>
  <w:style w:type="character" w:styleId="BalloonTextChar">
    <w:name w:val="Balloon Text Char"/>
    <w:basedOn w:val="DefaultParagraphFont"/>
    <w:qFormat/>
    <w:rPr>
      <w:rFonts w:ascii="Times New Roman" w:hAnsi="Times New Roman" w:eastAsia="Times New Roman" w:cs="Times New Roman"/>
      <w:bCs/>
      <w:color w:val="4F5252"/>
      <w:sz w:val="18"/>
      <w:szCs w:val="18"/>
      <w:lang w:val="en-US" w:eastAsia="en-US"/>
    </w:rPr>
  </w:style>
  <w:style w:type="character" w:styleId="InternetLink">
    <w:name w:val="Internet Link"/>
    <w:rPr>
      <w:color w:val="0C9DD9"/>
      <w:u w:val="single"/>
    </w:rPr>
  </w:style>
  <w:style w:type="character" w:styleId="UnresolvedMention1">
    <w:name w:val="Unresolved Mention1"/>
    <w:qFormat/>
    <w:rPr>
      <w:color w:val="605E5C"/>
      <w:shd w:fill="E1DFDD" w:val="clear"/>
    </w:rPr>
  </w:style>
  <w:style w:type="character" w:styleId="Pagenumber">
    <w:name w:val="page number"/>
    <w:basedOn w:val="DefaultParagraphFont"/>
    <w:qFormat/>
    <w:rPr/>
  </w:style>
  <w:style w:type="character" w:styleId="Heading2Char">
    <w:name w:val="Heading 2 Char"/>
    <w:qFormat/>
    <w:rPr>
      <w:rFonts w:eastAsia="Times New Roman"/>
      <w:b/>
      <w:bCs/>
      <w:color w:val="0C9DD9"/>
      <w:sz w:val="22"/>
    </w:rPr>
  </w:style>
  <w:style w:type="character" w:styleId="Heading1Char">
    <w:name w:val="Heading 1 Char"/>
    <w:qFormat/>
    <w:rPr>
      <w:rFonts w:eastAsia="Times New Roman"/>
      <w:b/>
      <w:bCs/>
      <w:color w:val="13A64C"/>
      <w:sz w:val="28"/>
      <w:szCs w:val="28"/>
    </w:rPr>
  </w:style>
  <w:style w:type="character" w:styleId="Heading3Char">
    <w:name w:val="Heading 3 Char"/>
    <w:qFormat/>
    <w:rPr>
      <w:rFonts w:ascii="Century Gothic" w:hAnsi="Century Gothic" w:eastAsia="Times New Roman" w:cs="Times New Roman"/>
      <w:b/>
      <w:bCs/>
      <w:color w:val="D11317"/>
      <w:sz w:val="20"/>
      <w:szCs w:val="20"/>
      <w:lang w:eastAsia="en-GB"/>
    </w:rPr>
  </w:style>
  <w:style w:type="character" w:styleId="FootnoteTextChar">
    <w:name w:val="Footnote Text Char"/>
    <w:qFormat/>
    <w:rPr>
      <w:rFonts w:ascii="Arial" w:hAnsi="Arial" w:eastAsia="Times New Roman" w:cs="Arial"/>
      <w:bCs/>
      <w:color w:val="4C4C4D"/>
      <w:spacing w:val="-2"/>
      <w:sz w:val="20"/>
      <w:szCs w:val="20"/>
      <w:lang w:val="en-US"/>
    </w:rPr>
  </w:style>
  <w:style w:type="character" w:styleId="FootnoteCharacters">
    <w:name w:val="Footnote Characters"/>
    <w:qFormat/>
    <w:rPr>
      <w:vertAlign w:val="superscript"/>
    </w:rPr>
  </w:style>
  <w:style w:type="character" w:styleId="FootnoteAnchor">
    <w:name w:val="Footnote Anchor"/>
    <w:rPr>
      <w:vertAlign w:val="superscript"/>
    </w:rPr>
  </w:style>
  <w:style w:type="character" w:styleId="Spellingerror">
    <w:name w:val="spellingerror"/>
    <w:basedOn w:val="DefaultParagraphFont"/>
    <w:qFormat/>
    <w:rPr/>
  </w:style>
  <w:style w:type="character" w:styleId="Normaltextrun">
    <w:name w:val="normaltextrun"/>
    <w:basedOn w:val="DefaultParagraphFont"/>
    <w:qFormat/>
    <w:rPr/>
  </w:style>
  <w:style w:type="character" w:styleId="HeaderChar">
    <w:name w:val="Header Char"/>
    <w:basedOn w:val="DefaultParagraphFont"/>
    <w:qFormat/>
    <w:rPr>
      <w:rFonts w:ascii="Arial" w:hAnsi="Arial" w:eastAsia="Times New Roman" w:cs="Arial"/>
      <w:bCs/>
      <w:color w:val="4F5252"/>
      <w:lang w:val="en-US" w:eastAsia="en-US"/>
    </w:rPr>
  </w:style>
  <w:style w:type="character" w:styleId="FooterChar">
    <w:name w:val="Footer Char"/>
    <w:basedOn w:val="DefaultParagraphFont"/>
    <w:qFormat/>
    <w:rPr>
      <w:rFonts w:ascii="Arial" w:hAnsi="Arial" w:eastAsia="Times New Roman" w:cs="Arial"/>
      <w:bCs/>
      <w:color w:val="4F5252"/>
      <w:lang w:val="en-US" w:eastAsia="en-US"/>
    </w:rPr>
  </w:style>
  <w:style w:type="character" w:styleId="Strong">
    <w:name w:val="Strong"/>
    <w:basedOn w:val="DefaultParagraphFont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ReferenceIntroLineCenturyGothic">
    <w:name w:val="Reference/Intro Line Century Gothic"/>
    <w:basedOn w:val="Normal"/>
    <w:next w:val="Normal"/>
    <w:qFormat/>
    <w:pPr/>
    <w:rPr>
      <w:rFonts w:ascii="Century Gothic" w:hAnsi="Century Gothic" w:cs="Times New Roman"/>
      <w:b/>
      <w:color w:val="0C9DD9"/>
      <w:sz w:val="22"/>
      <w:lang w:val="en-GB" w:eastAsia="en-GB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imes New Roman" w:hAnsi="Times New Roman" w:cs="Times New Roman"/>
      <w:sz w:val="18"/>
      <w:szCs w:val="18"/>
    </w:rPr>
  </w:style>
  <w:style w:type="paragraph" w:styleId="SignatureDetails">
    <w:name w:val="Signature Details"/>
    <w:basedOn w:val="ReferenceIntroLineCenturyGothic"/>
    <w:next w:val="Normal"/>
    <w:qFormat/>
    <w:pPr>
      <w:spacing w:lineRule="auto" w:line="240" w:before="0" w:after="240"/>
      <w:contextualSpacing/>
    </w:pPr>
    <w:rPr>
      <w:b w:val="false"/>
    </w:rPr>
  </w:style>
  <w:style w:type="paragraph" w:styleId="SignatureName">
    <w:name w:val="Signature Name"/>
    <w:basedOn w:val="ReferenceIntroLineCenturyGothic"/>
    <w:next w:val="SignatureDetails"/>
    <w:qFormat/>
    <w:pPr>
      <w:spacing w:lineRule="auto" w:line="240" w:before="0" w:after="0"/>
      <w:contextualSpacing/>
    </w:pPr>
    <w:rPr/>
  </w:style>
  <w:style w:type="paragraph" w:styleId="BasicParagraph">
    <w:name w:val="[Basic Paragraph]"/>
    <w:basedOn w:val="Normal"/>
    <w:qFormat/>
    <w:pPr>
      <w:spacing w:lineRule="auto" w:line="288" w:before="0" w:after="0"/>
      <w:textAlignment w:val="center"/>
    </w:pPr>
    <w:rPr>
      <w:rFonts w:ascii="Times;Times New Roman" w:hAnsi="Times;Times New Roman" w:eastAsia="Century Gothic" w:cs="Times;Times New Roman"/>
      <w:bCs w:val="false"/>
      <w:color w:val="000000"/>
      <w:sz w:val="24"/>
      <w:szCs w:val="24"/>
      <w:lang w:val="en-GB"/>
    </w:rPr>
  </w:style>
  <w:style w:type="paragraph" w:styleId="ListParagraph">
    <w:name w:val="List Paragraph"/>
    <w:basedOn w:val="Normal"/>
    <w:qFormat/>
    <w:pPr>
      <w:spacing w:before="0" w:after="240"/>
      <w:ind w:left="720" w:right="0" w:hanging="0"/>
      <w:contextualSpacing/>
    </w:pPr>
    <w:rPr/>
  </w:style>
  <w:style w:type="paragraph" w:styleId="NumberedBullets">
    <w:name w:val="Numbered Bullets"/>
    <w:basedOn w:val="ListParagraph"/>
    <w:qFormat/>
    <w:pPr/>
    <w:rPr>
      <w:szCs w:val="16"/>
    </w:rPr>
  </w:style>
  <w:style w:type="paragraph" w:styleId="Footnote">
    <w:name w:val="Footnote Text"/>
    <w:basedOn w:val="Normal"/>
    <w:pPr>
      <w:spacing w:lineRule="auto" w:line="360"/>
    </w:pPr>
    <w:rPr>
      <w:color w:val="585857"/>
      <w:sz w:val="18"/>
      <w:szCs w:val="18"/>
    </w:rPr>
  </w:style>
  <w:style w:type="paragraph" w:styleId="TOCHeading">
    <w:name w:val="TOC Heading"/>
    <w:basedOn w:val="Heading1"/>
    <w:next w:val="Normal"/>
    <w:qFormat/>
    <w:pPr>
      <w:keepNext w:val="true"/>
      <w:keepLines/>
      <w:numPr>
        <w:ilvl w:val="0"/>
        <w:numId w:val="0"/>
      </w:numPr>
      <w:spacing w:lineRule="auto" w:line="276" w:before="480" w:after="0"/>
    </w:pPr>
    <w:rPr>
      <w:color w:val="1674A1"/>
      <w:lang w:val="en-US" w:eastAsia="en-US"/>
    </w:rPr>
  </w:style>
  <w:style w:type="paragraph" w:styleId="Contents2">
    <w:name w:val="TOC 2"/>
    <w:basedOn w:val="Normal"/>
    <w:next w:val="Normal"/>
    <w:pPr>
      <w:spacing w:before="0" w:after="0"/>
      <w:ind w:left="220" w:right="0" w:hanging="0"/>
    </w:pPr>
    <w:rPr>
      <w:rFonts w:ascii="Century Gothic" w:hAnsi="Century Gothic" w:cs="Century Gothic"/>
      <w:bCs w:val="false"/>
      <w:smallCaps/>
    </w:rPr>
  </w:style>
  <w:style w:type="paragraph" w:styleId="Contents1">
    <w:name w:val="TOC 1"/>
    <w:basedOn w:val="Normal"/>
    <w:next w:val="Normal"/>
    <w:pPr>
      <w:spacing w:before="120" w:after="120"/>
      <w:ind w:left="0" w:right="2345" w:hanging="0"/>
    </w:pPr>
    <w:rPr>
      <w:b/>
      <w:caps/>
      <w:color w:val="0B9C3C"/>
    </w:rPr>
  </w:style>
  <w:style w:type="paragraph" w:styleId="Contents3">
    <w:name w:val="TOC 3"/>
    <w:basedOn w:val="Normal"/>
    <w:next w:val="Normal"/>
    <w:pPr>
      <w:spacing w:before="0" w:after="0"/>
      <w:ind w:left="440" w:right="0" w:hanging="0"/>
    </w:pPr>
    <w:rPr>
      <w:rFonts w:ascii="Century Gothic" w:hAnsi="Century Gothic" w:cs="Century Gothic"/>
      <w:bCs w:val="false"/>
      <w:i/>
      <w:iCs/>
    </w:rPr>
  </w:style>
  <w:style w:type="paragraph" w:styleId="Contents4">
    <w:name w:val="TOC 4"/>
    <w:basedOn w:val="Normal"/>
    <w:next w:val="Normal"/>
    <w:pPr>
      <w:spacing w:before="0" w:after="0"/>
      <w:ind w:left="660" w:right="0" w:hanging="0"/>
    </w:pPr>
    <w:rPr>
      <w:rFonts w:ascii="Century Gothic" w:hAnsi="Century Gothic" w:cs="Century Gothic"/>
      <w:bCs w:val="false"/>
      <w:sz w:val="18"/>
      <w:szCs w:val="18"/>
    </w:rPr>
  </w:style>
  <w:style w:type="paragraph" w:styleId="Contents5">
    <w:name w:val="TOC 5"/>
    <w:basedOn w:val="Normal"/>
    <w:next w:val="Normal"/>
    <w:pPr>
      <w:spacing w:before="0" w:after="0"/>
      <w:ind w:left="880" w:right="0" w:hanging="0"/>
    </w:pPr>
    <w:rPr>
      <w:rFonts w:ascii="Century Gothic" w:hAnsi="Century Gothic" w:cs="Century Gothic"/>
      <w:bCs w:val="false"/>
      <w:sz w:val="18"/>
      <w:szCs w:val="18"/>
    </w:rPr>
  </w:style>
  <w:style w:type="paragraph" w:styleId="Contents6">
    <w:name w:val="TOC 6"/>
    <w:basedOn w:val="Normal"/>
    <w:next w:val="Normal"/>
    <w:pPr>
      <w:spacing w:before="0" w:after="0"/>
      <w:ind w:left="1100" w:right="0" w:hanging="0"/>
    </w:pPr>
    <w:rPr>
      <w:rFonts w:ascii="Century Gothic" w:hAnsi="Century Gothic" w:cs="Century Gothic"/>
      <w:bCs w:val="false"/>
      <w:sz w:val="18"/>
      <w:szCs w:val="18"/>
    </w:rPr>
  </w:style>
  <w:style w:type="paragraph" w:styleId="Contents7">
    <w:name w:val="TOC 7"/>
    <w:basedOn w:val="Normal"/>
    <w:next w:val="Normal"/>
    <w:pPr>
      <w:spacing w:before="0" w:after="0"/>
      <w:ind w:left="1320" w:right="0" w:hanging="0"/>
    </w:pPr>
    <w:rPr>
      <w:rFonts w:ascii="Century Gothic" w:hAnsi="Century Gothic" w:cs="Century Gothic"/>
      <w:bCs w:val="false"/>
      <w:sz w:val="18"/>
      <w:szCs w:val="18"/>
    </w:rPr>
  </w:style>
  <w:style w:type="paragraph" w:styleId="Contents8">
    <w:name w:val="TOC 8"/>
    <w:basedOn w:val="Normal"/>
    <w:next w:val="Normal"/>
    <w:pPr>
      <w:spacing w:before="0" w:after="0"/>
      <w:ind w:left="1540" w:right="0" w:hanging="0"/>
    </w:pPr>
    <w:rPr>
      <w:rFonts w:ascii="Century Gothic" w:hAnsi="Century Gothic" w:cs="Century Gothic"/>
      <w:bCs w:val="false"/>
      <w:sz w:val="18"/>
      <w:szCs w:val="18"/>
    </w:rPr>
  </w:style>
  <w:style w:type="paragraph" w:styleId="Contents9">
    <w:name w:val="TOC 9"/>
    <w:basedOn w:val="Normal"/>
    <w:next w:val="Normal"/>
    <w:pPr>
      <w:spacing w:before="0" w:after="0"/>
      <w:ind w:left="1760" w:right="0" w:hanging="0"/>
    </w:pPr>
    <w:rPr>
      <w:rFonts w:ascii="Century Gothic" w:hAnsi="Century Gothic" w:cs="Century Gothic"/>
      <w:bCs w:val="false"/>
      <w:sz w:val="18"/>
      <w:szCs w:val="18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bCs/>
      <w:color w:val="4C4C4D"/>
      <w:spacing w:val="-2"/>
      <w:kern w:val="0"/>
      <w:sz w:val="22"/>
      <w:szCs w:val="20"/>
      <w:lang w:val="en-US" w:eastAsia="en-US" w:bidi="ar-SA"/>
    </w:rPr>
  </w:style>
  <w:style w:type="paragraph" w:styleId="BulletPoints">
    <w:name w:val="Bullet Points"/>
    <w:basedOn w:val="Normal"/>
    <w:qFormat/>
    <w:pPr>
      <w:spacing w:before="0" w:after="0"/>
      <w:contextualSpacing/>
    </w:pPr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cs="Times New Roman"/>
      <w:bCs w:val="false"/>
      <w:color w:val="auto"/>
      <w:sz w:val="24"/>
      <w:szCs w:val="24"/>
      <w:lang w:val="en-GB" w:eastAsia="en-GB"/>
    </w:rPr>
  </w:style>
  <w:style w:type="paragraph" w:styleId="ListBullet">
    <w:name w:val="List Bullet"/>
    <w:basedOn w:val="Normal"/>
    <w:qFormat/>
    <w:pPr>
      <w:spacing w:lineRule="auto" w:line="276" w:before="0" w:after="200"/>
      <w:ind w:left="0" w:right="0" w:hanging="0"/>
      <w:contextualSpacing/>
    </w:pPr>
    <w:rPr>
      <w:rFonts w:ascii="Arial" w:hAnsi="Arial" w:eastAsia="" w:cs=""/>
      <w:bCs w:val="false"/>
      <w:color w:val="auto"/>
      <w:sz w:val="22"/>
      <w:szCs w:val="22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wm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LibreOffice/6.3.4.2$Windows_X86_64 LibreOffice_project/60da17e045e08f1793c57c00ba83cdfce946d0aa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2026-04-21T11:04:00Z</dcterms:created>
  <dc:creator>Ed Longton</dc:creator>
  <dc:description/>
  <dc:language>en-US</dc:language>
  <cp:lastModifiedBy>Lisa Marie Flynn</cp:lastModifiedBy>
  <cp:lastPrinted>1995-11-21T17:41:00Z</cp:lastPrinted>
  <dcterms:modified xsi:type="dcterms:W3CDTF">2026-04-21T11:04:00Z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GrammarlyDocumentId">
    <vt:lpwstr>f38d0305131e18efe172796f3f29a1ea5d5949d86f52ff56d5c68fa7407a360e</vt:lpwstr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