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sz w:val="22"/>
          <w:szCs w:val="22"/>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rPr>
          <w:rFonts w:ascii="Calibri" w:hAnsi="Calibri" w:cs="Calibri"/>
          <w:sz w:val="22"/>
          <w:szCs w:val="22"/>
          <w:lang w:val="en-GB"/>
        </w:rPr>
      </w:pPr>
      <w:r>
        <w:rPr>
          <w:rFonts w:cs="Calibri" w:ascii="Calibri" w:hAnsi="Calibri"/>
          <w:sz w:val="22"/>
          <w:szCs w:val="22"/>
          <w:lang w:val="en-GB"/>
        </w:rPr>
        <w:t>CES Guidance</w:t>
      </w:r>
    </w:p>
    <w:p>
      <w:pPr>
        <w:pStyle w:val="AppFormTitle"/>
        <w:rPr>
          <w:rFonts w:ascii="Calibri" w:hAnsi="Calibri" w:cs="Calibri"/>
          <w:sz w:val="22"/>
          <w:szCs w:val="22"/>
          <w:lang w:val="en-GB"/>
        </w:rPr>
      </w:pPr>
      <w:r>
        <w:rPr>
          <w:rFonts w:cs="Calibri" w:ascii="Calibri" w:hAnsi="Calibri"/>
          <w:sz w:val="22"/>
          <w:szCs w:val="22"/>
          <w:lang w:val="en-GB"/>
        </w:rPr>
        <w:t>CES Model Application Forms and Supplementary Forms</w:t>
      </w:r>
    </w:p>
    <w:p>
      <w:pPr>
        <w:pStyle w:val="AppFormTitle"/>
        <w:rPr>
          <w:rFonts w:ascii="Calibri" w:hAnsi="Calibri" w:cs="Calibri"/>
          <w:sz w:val="22"/>
          <w:szCs w:val="22"/>
          <w:lang w:val="en-GB"/>
        </w:rPr>
      </w:pPr>
      <w:r>
        <w:rPr>
          <w:rFonts w:cs="Calibri" w:ascii="Calibri" w:hAnsi="Calibri"/>
          <w:sz w:val="22"/>
          <w:szCs w:val="22"/>
          <w:lang w:val="en-GB"/>
        </w:rPr>
        <w:t>Notes to Applicants</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These Notes accompany the relevant CES Model Application Forms for each category of employee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Recruitment Monitoring Form;</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Rehabilitation of Offenders Act 1974 – Disclosure Form; and</w:t>
      </w:r>
    </w:p>
    <w:p>
      <w:pPr>
        <w:pStyle w:val="AppFormTitle"/>
        <w:numPr>
          <w:ilvl w:val="0"/>
          <w:numId w:val="2"/>
        </w:numPr>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the Model Consent to Obtain References Form,</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together referred to as the “supplementary forms”.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t xml:space="preserve">Where there is a distinction between the categories of employee to which these Notes apply, it will be clearly highlighted.    </w:t>
      </w:r>
    </w:p>
    <w:p>
      <w:pPr>
        <w:pStyle w:val="AppFormTitle"/>
        <w:spacing w:lineRule="auto" w:line="240" w:before="0" w:after="0"/>
        <w:jc w:val="both"/>
        <w:rPr>
          <w:rFonts w:ascii="Calibri" w:hAnsi="Calibri" w:cs="Calibri"/>
          <w:b w:val="false"/>
          <w:b w:val="false"/>
          <w:sz w:val="22"/>
          <w:szCs w:val="22"/>
          <w:lang w:val="en-GB"/>
        </w:rPr>
      </w:pPr>
      <w:r>
        <w:rPr>
          <w:rFonts w:cs="Calibri" w:ascii="Calibri" w:hAnsi="Calibri"/>
          <w:b w:val="false"/>
          <w:sz w:val="22"/>
          <w:szCs w:val="22"/>
          <w:lang w:val="en-GB"/>
        </w:rPr>
      </w:r>
    </w:p>
    <w:p>
      <w:pPr>
        <w:pStyle w:val="Normal"/>
        <w:spacing w:lineRule="auto" w:line="240" w:before="0" w:after="0"/>
        <w:jc w:val="both"/>
        <w:rPr>
          <w:rFonts w:cs="Arial"/>
          <w:lang w:val="en-GB"/>
        </w:rPr>
      </w:pPr>
      <w:r>
        <w:rPr>
          <w:rFonts w:cs="Arial"/>
          <w:lang w:val="en-GB"/>
        </w:rPr>
        <w:t xml:space="preserve">Applicants are advised to read through these Notes fully before completing the Application Form and the supplementary forms.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highlight w:val="yellow"/>
          <w:lang w:val="en-GB"/>
        </w:rPr>
      </w:pPr>
      <w:r>
        <w:rPr>
          <w:rFonts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also be different.  If applicants are unsure, they should ask the recruiting school / college.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TECHNICAL INSTRUCTIONS</w:t>
      </w:r>
    </w:p>
    <w:p>
      <w:pPr>
        <w:pStyle w:val="Normal"/>
        <w:spacing w:lineRule="auto" w:line="240" w:before="0" w:after="0"/>
        <w:jc w:val="both"/>
        <w:rPr>
          <w:rFonts w:cs="Arial"/>
          <w:b/>
          <w:b/>
          <w:u w:val="single"/>
          <w:lang w:val="en-GB"/>
        </w:rPr>
      </w:pPr>
      <w:r>
        <w:rPr>
          <w:rFonts w:cs="Arial"/>
          <w:b/>
          <w:u w:val="single"/>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Depending on the recruiting school’s / college’s own requirements applicants may complete the Application Form and supplementary forms in three ways:</w:t>
      </w:r>
    </w:p>
    <w:p>
      <w:pPr>
        <w:pStyle w:val="Normal"/>
        <w:spacing w:lineRule="auto" w:line="240" w:before="0" w:after="0"/>
        <w:ind w:left="709" w:right="0" w:hanging="0"/>
        <w:jc w:val="both"/>
        <w:rPr>
          <w:rFonts w:cs="Arial"/>
          <w:lang w:val="en-GB"/>
        </w:rPr>
      </w:pPr>
      <w:r>
        <w:rPr>
          <w:rFonts w:cs="Arial"/>
          <w:lang w:val="en-GB"/>
        </w:rPr>
      </w:r>
    </w:p>
    <w:p>
      <w:pPr>
        <w:pStyle w:val="ListParagraph"/>
        <w:numPr>
          <w:ilvl w:val="0"/>
          <w:numId w:val="3"/>
        </w:numPr>
        <w:tabs>
          <w:tab w:val="clear" w:pos="720"/>
          <w:tab w:val="left" w:pos="1418" w:leader="none"/>
        </w:tabs>
        <w:spacing w:lineRule="auto" w:line="240" w:before="0" w:after="0"/>
        <w:ind w:left="720" w:right="0" w:hanging="11"/>
        <w:contextualSpacing/>
        <w:jc w:val="both"/>
        <w:rPr>
          <w:rFonts w:cs="Arial"/>
          <w:lang w:val="en-GB"/>
        </w:rPr>
      </w:pPr>
      <w:r>
        <w:rPr>
          <w:rFonts w:cs="Arial"/>
          <w:lang w:val="en-GB"/>
        </w:rPr>
        <w:t>Completion and submission electronically;</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Completion electronically, printing and submitting a hardcopy via post, by fax or by scanning and emailing;</w:t>
      </w:r>
    </w:p>
    <w:p>
      <w:pPr>
        <w:pStyle w:val="ListParagraph"/>
        <w:numPr>
          <w:ilvl w:val="0"/>
          <w:numId w:val="3"/>
        </w:numPr>
        <w:spacing w:lineRule="auto" w:line="240" w:before="0" w:after="0"/>
        <w:ind w:left="1418" w:right="0" w:hanging="709"/>
        <w:contextualSpacing/>
        <w:jc w:val="both"/>
        <w:rPr>
          <w:rFonts w:cs="Arial"/>
          <w:lang w:val="en-GB"/>
        </w:rPr>
      </w:pPr>
      <w:r>
        <w:rPr>
          <w:rFonts w:cs="Arial"/>
          <w:lang w:val="en-GB"/>
        </w:rPr>
        <w:t xml:space="preserve">Printing off and completing in handwritten format, then submitting by post, by fax or by scanning and emailing.   </w:t>
      </w:r>
    </w:p>
    <w:p>
      <w:pPr>
        <w:pStyle w:val="ListParagraph"/>
        <w:spacing w:lineRule="auto" w:line="240" w:before="0" w:after="0"/>
        <w:contextualSpacing/>
        <w:jc w:val="both"/>
        <w:rPr>
          <w:rFonts w:cs="Arial"/>
          <w:lang w:val="en-GB"/>
        </w:rPr>
      </w:pPr>
      <w:r>
        <w:rPr>
          <w:rFonts w:cs="Arial"/>
          <w:lang w:val="en-GB"/>
        </w:rPr>
      </w:r>
    </w:p>
    <w:p>
      <w:pPr>
        <w:pStyle w:val="Normal"/>
        <w:numPr>
          <w:ilvl w:val="0"/>
          <w:numId w:val="1"/>
        </w:numPr>
        <w:spacing w:lineRule="auto" w:line="240" w:before="0" w:after="0"/>
        <w:ind w:left="709" w:right="0" w:hanging="709"/>
        <w:jc w:val="both"/>
        <w:rPr>
          <w:rFonts w:cs="Arial"/>
          <w:lang w:val="en-GB"/>
        </w:rPr>
      </w:pPr>
      <w:r>
        <w:rPr>
          <w:rFonts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pPr>
        <w:pStyle w:val="Normal"/>
        <w:spacing w:lineRule="auto" w:line="240" w:before="0" w:after="0"/>
        <w:ind w:left="709" w:right="0" w:hanging="0"/>
        <w:jc w:val="both"/>
        <w:rPr>
          <w:rFonts w:cs="Arial"/>
          <w:lang w:val="en-GB"/>
        </w:rPr>
      </w:pPr>
      <w:r>
        <w:rPr>
          <w:rFonts w:cs="Arial"/>
          <w:lang w:val="en-GB"/>
        </w:rPr>
      </w:r>
    </w:p>
    <w:p>
      <w:pPr>
        <w:pStyle w:val="Normal"/>
        <w:spacing w:lineRule="auto" w:line="240" w:before="0" w:after="0"/>
        <w:rPr>
          <w:rFonts w:cs="Arial"/>
          <w:b/>
          <w:b/>
          <w:lang w:val="en-GB"/>
        </w:rPr>
      </w:pPr>
      <w:r>
        <w:rPr>
          <w:rFonts w:cs="Arial"/>
          <w:b/>
          <w:lang w:val="en-GB"/>
        </w:rPr>
        <w:t>GENERAL INFORMATION</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Before signing the application form, applicants must ensure that every section has been completed.  </w:t>
      </w:r>
      <w:r>
        <w:rPr>
          <w:rFonts w:cs="Arial"/>
          <w:b/>
          <w:lang w:val="en-GB"/>
        </w:rPr>
        <w:t xml:space="preserve">Failure to complete all relevant sections may result in an application being rejected.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All Application Forms, supplementary forms and any relevant documentary evidence should be sent to the school / college where the position applied for is based, or as instructed in the job advertisement.  </w:t>
      </w:r>
      <w:r>
        <w:rPr>
          <w:rFonts w:cs="Arial"/>
          <w:b/>
          <w:lang w:val="en-GB"/>
        </w:rPr>
        <w:t xml:space="preserve">Applicants should </w:t>
      </w:r>
      <w:r>
        <w:rPr>
          <w:rFonts w:cs="Arial"/>
          <w:b/>
          <w:u w:val="single"/>
          <w:lang w:val="en-GB"/>
        </w:rPr>
        <w:t>not</w:t>
      </w:r>
      <w:r>
        <w:rPr>
          <w:rFonts w:cs="Arial"/>
          <w:b/>
          <w:lang w:val="en-GB"/>
        </w:rPr>
        <w:t xml:space="preserve"> return any Application Form and / or supplementary forms and / or any relevant documentary evidence to the CES.</w:t>
      </w:r>
      <w:r>
        <w:rPr>
          <w:rFonts w:cs="Arial"/>
          <w:lang w:val="en-GB"/>
        </w:rPr>
        <w:t xml:space="preserve">  Any applications received by the CES will not be forwarded or returned but shall be securely disposed of. </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 xml:space="preserve">THE APPLICATION FORM – GUIDANCE ON COMPLETING SPECIFIC SECTIONS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Applicants are advised that the Governing Body complies with the School Standards and Framework Act 1998 and the Equality Act 2010.</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Details of the Role Applied For</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Applicants should complete this section of the Form by inserting the relevant information and ticking the appropriate boxes.</w:t>
      </w:r>
    </w:p>
    <w:p>
      <w:pPr>
        <w:pStyle w:val="Normal"/>
        <w:keepLines/>
        <w:spacing w:lineRule="auto" w:line="240" w:before="0" w:after="0"/>
        <w:jc w:val="both"/>
        <w:rPr>
          <w:rFonts w:eastAsia="Calibri" w:cs="Calibri"/>
          <w:lang w:val="en-GB"/>
        </w:rPr>
      </w:pPr>
      <w:r>
        <w:rPr>
          <w:rFonts w:eastAsia="Calibri" w:cs="Calibri"/>
          <w:lang w:val="en-GB"/>
        </w:rPr>
        <w:t xml:space="preserve"> </w:t>
      </w:r>
    </w:p>
    <w:p>
      <w:pPr>
        <w:pStyle w:val="Normal"/>
        <w:spacing w:lineRule="auto" w:line="240" w:before="0" w:after="0"/>
        <w:jc w:val="both"/>
        <w:rPr>
          <w:rFonts w:cs="Arial"/>
          <w:b/>
          <w:b/>
          <w:lang w:val="en-GB"/>
        </w:rPr>
      </w:pPr>
      <w:r>
        <w:rPr>
          <w:rFonts w:cs="Arial"/>
          <w:b/>
          <w:lang w:val="en-GB"/>
        </w:rPr>
        <w:t>Personal Details</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rFonts w:cs="Arial"/>
          <w:lang w:val="en-GB"/>
        </w:rPr>
        <w:t>Applicants should insert the requested details and tick the relevant box in order to indicate how they would prefer to be contacted.</w:t>
      </w:r>
      <w:r>
        <w:rPr>
          <w:rFonts w:cs="Arial"/>
          <w:b/>
          <w:u w:val="single"/>
          <w:lang w:val="en-GB"/>
        </w:rPr>
        <w:t xml:space="preserve"> </w:t>
      </w:r>
    </w:p>
    <w:p>
      <w:pPr>
        <w:pStyle w:val="Normal"/>
        <w:spacing w:lineRule="auto" w:line="240" w:before="0" w:after="0"/>
        <w:jc w:val="both"/>
        <w:rPr>
          <w:rFonts w:cs="Arial"/>
          <w:lang w:val="en-GB"/>
        </w:rPr>
      </w:pPr>
      <w:r>
        <w:rPr>
          <w:rFonts w:cs="Arial"/>
          <w:lang w:val="en-GB"/>
        </w:rPr>
        <w:t xml:space="preserve">If an applicant has obtained qualified teacher status from a jurisdiction other than England or Wales they should insert their membership number for the relevant teaching profession regulator and provide details of the specific regulator.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Support staff and Lay Chaplain Application Forms only – if applicants have not obtained qualified teacher status they should leave this section blank.</w:t>
      </w:r>
    </w:p>
    <w:p>
      <w:pPr>
        <w:pStyle w:val="Normal"/>
        <w:spacing w:lineRule="auto" w:line="240" w:before="0" w:after="0"/>
        <w:rPr>
          <w:rFonts w:cs="Arial"/>
          <w:lang w:val="en-GB"/>
        </w:rPr>
      </w:pPr>
      <w:r>
        <w:rPr>
          <w:rFonts w:cs="Arial"/>
          <w:lang w:val="en-GB"/>
        </w:rPr>
      </w:r>
    </w:p>
    <w:p>
      <w:pPr>
        <w:pStyle w:val="Normal"/>
        <w:spacing w:lineRule="auto" w:line="240" w:before="0" w:after="0"/>
        <w:rPr>
          <w:rFonts w:cs="Arial"/>
          <w:b/>
          <w:b/>
          <w:lang w:val="en-GB"/>
        </w:rPr>
      </w:pPr>
      <w:r>
        <w:rPr>
          <w:rFonts w:cs="Arial"/>
          <w:b/>
          <w:lang w:val="en-GB"/>
        </w:rPr>
        <w:t>Details of Present Employment</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who are not currently employed, should tick the box that says “no” and proceed to the next section.</w:t>
      </w:r>
    </w:p>
    <w:p>
      <w:pPr>
        <w:pStyle w:val="Normal"/>
        <w:spacing w:lineRule="auto" w:line="240" w:before="0" w:after="0"/>
        <w:rPr>
          <w:rFonts w:cs="Arial"/>
          <w:b/>
          <w:b/>
          <w:u w:val="single"/>
          <w:lang w:val="en-GB"/>
        </w:rPr>
      </w:pPr>
      <w:r>
        <w:rPr>
          <w:rFonts w:cs="Arial"/>
          <w:b/>
          <w:u w:val="single"/>
          <w:lang w:val="en-GB"/>
        </w:rPr>
      </w:r>
    </w:p>
    <w:p>
      <w:pPr>
        <w:pStyle w:val="Normal"/>
        <w:spacing w:lineRule="auto" w:line="240" w:before="0" w:after="0"/>
        <w:rPr>
          <w:rFonts w:cs="Arial"/>
          <w:b/>
          <w:b/>
          <w:lang w:val="en-GB"/>
        </w:rPr>
      </w:pPr>
      <w:r>
        <w:rPr>
          <w:rFonts w:cs="Arial"/>
          <w:b/>
          <w:lang w:val="en-GB"/>
        </w:rPr>
        <w:t>Employment History</w:t>
      </w:r>
    </w:p>
    <w:p>
      <w:pPr>
        <w:pStyle w:val="Normal"/>
        <w:spacing w:lineRule="auto" w:line="240" w:before="0" w:after="0"/>
        <w:ind w:left="92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Other Employment / Work Experience</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should provide details of all other employment and paid or unpaid experience after the age of 18 (e.g. employment unrelated to the teaching profession, voluntary work etc).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b/>
          <w:b/>
          <w:lang w:val="en-GB"/>
        </w:rPr>
      </w:pPr>
      <w:r>
        <w:rPr>
          <w:rFonts w:cs="Arial"/>
          <w:b/>
          <w:lang w:val="en-GB"/>
        </w:rPr>
        <w:t>Post-11 Education and Training</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Catholic Certificate in Religious Studies (“CCRS”) – this was formerly known as the Catholic Teachers’ Certificate and the Certificate in Religious Education.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Teacher post Application Forms only – applicants should state which subjects they are qualified to teach including other subjects for which they may have experience to teach.  Applicants should also provide details of any other specialisms and special areas of teaching interest.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pPr>
      <w:r>
        <w:rPr>
          <w:rFonts w:cs="Arial"/>
          <w:lang w:val="en-GB"/>
        </w:rPr>
        <w:t xml:space="preserve">Senior Leadership posts only - the CES recognises that the NPQH is no longer a mandatory requirement in England but applicants should still provide details of the NPQH where requested in the Application Form as a potentially desirable qualification.  </w:t>
      </w:r>
      <w:r>
        <w:rPr>
          <w:rFonts w:cs="Arial"/>
        </w:rPr>
        <w:t xml:space="preserve">Applicants for Headteacher posts in Wales </w:t>
      </w:r>
      <w:r>
        <w:rPr>
          <w:rFonts w:cs="Arial"/>
          <w:u w:val="single"/>
        </w:rPr>
        <w:t>must</w:t>
      </w:r>
      <w:r>
        <w:rPr>
          <w:rFonts w:cs="Arial"/>
        </w:rPr>
        <w:t xml:space="preserve"> provide details of the NPQH as this remains a mandatory requirement for first Headship appointments</w:t>
      </w:r>
      <w:r>
        <w:rPr>
          <w:rFonts w:cs="Arial"/>
          <w:lang w:val="en-GB"/>
        </w:rPr>
        <w:t xml:space="preserve">.  </w:t>
      </w:r>
    </w:p>
    <w:p>
      <w:pPr>
        <w:pStyle w:val="Normal"/>
        <w:spacing w:lineRule="auto" w:line="240" w:before="0" w:after="0"/>
        <w:jc w:val="both"/>
        <w:rPr>
          <w:rFonts w:cs="Arial"/>
          <w:b/>
          <w:b/>
          <w:lang w:val="en-GB"/>
        </w:rPr>
      </w:pPr>
      <w:r>
        <w:rPr>
          <w:rFonts w:cs="Arial"/>
          <w:b/>
          <w:lang w:val="en-GB"/>
        </w:rPr>
      </w:r>
    </w:p>
    <w:p>
      <w:pPr>
        <w:pStyle w:val="Normal"/>
        <w:spacing w:lineRule="auto" w:line="240" w:before="0" w:after="0"/>
        <w:jc w:val="both"/>
        <w:rPr>
          <w:rFonts w:cs="Arial"/>
          <w:b/>
          <w:b/>
          <w:lang w:val="en-GB"/>
        </w:rPr>
      </w:pPr>
      <w:r>
        <w:rPr>
          <w:rFonts w:cs="Arial"/>
          <w:b/>
          <w:lang w:val="en-GB"/>
        </w:rPr>
        <w:t>Supporting Statement</w:t>
      </w:r>
    </w:p>
    <w:p>
      <w:pPr>
        <w:pStyle w:val="Normal"/>
        <w:spacing w:lineRule="auto" w:line="240" w:before="0" w:after="0"/>
        <w:ind w:left="2007" w:right="0" w:hanging="0"/>
        <w:jc w:val="both"/>
        <w:rPr>
          <w:rFonts w:cs="Arial"/>
          <w:b/>
          <w:b/>
          <w:u w:val="single"/>
          <w:lang w:val="en-GB"/>
        </w:rPr>
      </w:pPr>
      <w:r>
        <w:rPr>
          <w:rFonts w:cs="Arial"/>
          <w:b/>
          <w:u w:val="single"/>
          <w:lang w:val="en-GB"/>
        </w:rPr>
      </w:r>
    </w:p>
    <w:p>
      <w:pPr>
        <w:pStyle w:val="Normal"/>
        <w:spacing w:lineRule="auto" w:line="240" w:before="0" w:after="0"/>
        <w:jc w:val="both"/>
        <w:rPr>
          <w:rFonts w:cs="Arial"/>
          <w:lang w:val="en-GB"/>
        </w:rPr>
      </w:pPr>
      <w:r>
        <w:rPr>
          <w:rFonts w:cs="Arial"/>
          <w:lang w:val="en-GB"/>
        </w:rPr>
        <w:t>Applicants should ensure that their supporting statement is clear and concise and does not exceed 1,300 words.  It is preferable, although not compulsory, that the supporting statement is typed rather than handwritten.</w:t>
      </w:r>
    </w:p>
    <w:p>
      <w:pPr>
        <w:pStyle w:val="Normal"/>
        <w:spacing w:lineRule="auto" w:line="240" w:before="0" w:after="0"/>
        <w:rPr>
          <w:rFonts w:cs="Arial"/>
          <w:b/>
          <w:b/>
          <w:lang w:val="en-GB"/>
        </w:rPr>
      </w:pPr>
      <w:r>
        <w:rPr>
          <w:rFonts w:cs="Arial"/>
          <w:b/>
          <w:lang w:val="en-GB"/>
        </w:rPr>
      </w:r>
    </w:p>
    <w:p>
      <w:pPr>
        <w:pStyle w:val="Normal"/>
        <w:spacing w:lineRule="auto" w:line="240" w:before="0" w:after="0"/>
        <w:rPr>
          <w:rFonts w:cs="Arial"/>
          <w:b/>
          <w:b/>
          <w:lang w:val="en-GB"/>
        </w:rPr>
      </w:pPr>
      <w:r>
        <w:rPr>
          <w:rFonts w:cs="Arial"/>
          <w:b/>
          <w:lang w:val="en-GB"/>
        </w:rPr>
        <w:t>References</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lang w:val="en-GB"/>
        </w:rPr>
      </w:pPr>
      <w:r>
        <w:rPr>
          <w:rFonts w:cs="Arial"/>
          <w:lang w:val="en-GB"/>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lang w:val="en-GB"/>
        </w:rP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rFonts w:cs="Arial"/>
          <w:b/>
          <w:lang w:val="en-GB"/>
        </w:rPr>
        <w:t>Please also complete the Consent to Obtain References Form and return it with your application.</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pPr>
      <w:r>
        <w:rPr>
          <w:rFonts w:cs="Arial"/>
        </w:rP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rFonts w:cs="Arial"/>
          <w:b/>
          <w:lang w:val="en-GB"/>
        </w:rPr>
        <w:t xml:space="preserve">     </w:t>
      </w:r>
    </w:p>
    <w:p>
      <w:pPr>
        <w:pStyle w:val="Normal"/>
        <w:keepLines/>
        <w:spacing w:lineRule="auto" w:line="240" w:before="0" w:after="0"/>
        <w:ind w:left="873" w:right="0" w:hanging="0"/>
        <w:jc w:val="both"/>
        <w:rPr>
          <w:rFonts w:eastAsia="Calibri" w:cs="Calibri"/>
          <w:lang w:val="en-GB"/>
        </w:rPr>
      </w:pPr>
      <w:r>
        <w:rPr>
          <w:rFonts w:eastAsia="Calibri" w:cs="Calibri"/>
          <w:lang w:val="en-GB"/>
        </w:rPr>
        <w:t xml:space="preserve"> </w:t>
      </w:r>
    </w:p>
    <w:p>
      <w:pPr>
        <w:pStyle w:val="Normal"/>
        <w:keepLines/>
        <w:spacing w:lineRule="auto" w:line="240" w:before="0" w:after="0"/>
        <w:jc w:val="both"/>
        <w:rPr>
          <w:rFonts w:cs="Arial"/>
          <w:lang w:val="en-GB"/>
        </w:rPr>
      </w:pPr>
      <w:r>
        <w:rPr>
          <w:rFonts w:cs="Arial"/>
          <w:lang w:val="en-GB"/>
        </w:rPr>
        <w:t>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pPr>
        <w:pStyle w:val="Normal"/>
        <w:keepLines/>
        <w:spacing w:lineRule="auto" w:line="240" w:before="0" w:after="0"/>
        <w:jc w:val="both"/>
        <w:rPr>
          <w:rFonts w:cs="Arial"/>
          <w:b/>
          <w:b/>
          <w:lang w:val="en-GB"/>
        </w:rPr>
      </w:pPr>
      <w:r>
        <w:rPr>
          <w:rFonts w:cs="Arial"/>
          <w:b/>
          <w:lang w:val="en-GB"/>
        </w:rPr>
      </w:r>
    </w:p>
    <w:p>
      <w:pPr>
        <w:pStyle w:val="Normal"/>
        <w:keepLines/>
        <w:spacing w:lineRule="auto" w:line="240" w:before="0" w:after="0"/>
        <w:jc w:val="both"/>
        <w:rPr/>
      </w:pPr>
      <w:r>
        <w:rPr>
          <w:rFonts w:cs="Arial"/>
          <w:b/>
          <w:lang w:val="en-GB"/>
        </w:rPr>
        <w:t>Senior Leadership posts</w:t>
      </w:r>
      <w:r>
        <w:rPr>
          <w:rFonts w:cs="Arial"/>
          <w:lang w:val="en-GB"/>
        </w:rPr>
        <w:t xml:space="preserve"> – Applicants </w:t>
      </w:r>
      <w:r>
        <w:rPr>
          <w:rFonts w:cs="Arial"/>
        </w:rPr>
        <w:t xml:space="preserve">are advised that the ‘Memorandum on Appointment of Staff To Catholic Schools’ provides that ‘the posts of Headteacher or Principal, Deputy Headteacher or Deputy Principal and Head or Coordinator of Religious Education are to be filled by practising Catholics’.  The Memorandum may be viewed by visiting the CES’s website at: </w:t>
      </w:r>
    </w:p>
    <w:p>
      <w:pPr>
        <w:pStyle w:val="Normal"/>
        <w:keepLines/>
        <w:spacing w:lineRule="auto" w:line="240" w:before="0" w:after="0"/>
        <w:jc w:val="both"/>
        <w:rPr/>
      </w:pPr>
      <w:r>
        <w:rPr>
          <w:rStyle w:val="InternetLink"/>
        </w:rPr>
        <w:t>http://www.catholiceducation.org.uk/employment-documents/bishops-memorandum/item/1000049-memorandum-on-appointment-of-teachers-to-catholic-schools</w:t>
      </w:r>
    </w:p>
    <w:p>
      <w:pPr>
        <w:pStyle w:val="Normal"/>
        <w:keepLines/>
        <w:spacing w:lineRule="auto" w:line="240" w:before="0" w:after="0"/>
        <w:jc w:val="both"/>
        <w:rPr/>
      </w:pPr>
      <w:r>
        <w:rPr/>
      </w:r>
    </w:p>
    <w:p>
      <w:pPr>
        <w:pStyle w:val="Normal"/>
        <w:keepLines/>
        <w:spacing w:lineRule="auto" w:line="240" w:before="0" w:after="0"/>
        <w:jc w:val="both"/>
        <w:rPr/>
      </w:pPr>
      <w:r>
        <w:rPr>
          <w:rFonts w:cs="Arial"/>
          <w:b/>
        </w:rPr>
        <w:t>Teacher posts</w:t>
      </w:r>
      <w:r>
        <w:rPr>
          <w:rFonts w:cs="Arial"/>
        </w:rPr>
        <w:t xml:space="preserve"> – Applicants are advised that schools / 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Support Staff posts</w:t>
      </w:r>
      <w:r>
        <w:rPr>
          <w:rFonts w:cs="Arial"/>
        </w:rPr>
        <w:t xml:space="preserve"> – Applicants are advised that schools / colleges (in England only) are entitled to give priority to Catholic applicants </w:t>
      </w:r>
      <w:r>
        <w:rPr>
          <w:rFonts w:cs="Arial"/>
          <w:u w:val="single"/>
        </w:rPr>
        <w:t>where it can be demonstrated that attaching this requirement to a particular post is a proportionate means of achieving a legitimate aim (commonly known as a “genuine occupational requirement”)</w:t>
      </w:r>
      <w:r>
        <w:rPr>
          <w:rFonts w:cs="Arial"/>
        </w:rPr>
        <w:t>.  The recruitment documentation should make clear whether this requirement applies to the post.</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b/>
        </w:rPr>
        <w:t xml:space="preserve">Definition of “practising Catholic” </w:t>
      </w:r>
      <w:r>
        <w:rPr>
          <w:rFonts w:cs="Arial"/>
        </w:rPr>
        <w:t>–</w:t>
      </w:r>
      <w:r>
        <w:rPr>
          <w:rFonts w:cs="Arial"/>
          <w:b/>
        </w:rPr>
        <w:t xml:space="preserve"> </w:t>
      </w:r>
      <w:r>
        <w:rPr>
          <w:rFonts w:cs="Arial"/>
        </w:rPr>
        <w:t>Schools / colleges may provide guidance to the applicant regarding the definition of a “practising Catholic” with the application pack and / or in the event that the applicant is shortlisted for interview.</w:t>
      </w:r>
    </w:p>
    <w:p>
      <w:pPr>
        <w:pStyle w:val="Normal"/>
        <w:keepLines/>
        <w:spacing w:lineRule="auto" w:line="240" w:before="0" w:after="0"/>
        <w:jc w:val="both"/>
        <w:rPr>
          <w:rFonts w:cs="Arial"/>
        </w:rPr>
      </w:pPr>
      <w:r>
        <w:rPr>
          <w:rFonts w:cs="Arial"/>
        </w:rPr>
      </w:r>
      <w:bookmarkStart w:id="0" w:name="_Hlk511290235"/>
      <w:bookmarkStart w:id="1" w:name="_Hlk511290235"/>
      <w:bookmarkEnd w:id="1"/>
    </w:p>
    <w:p>
      <w:pPr>
        <w:pStyle w:val="Normal"/>
        <w:keepLines/>
        <w:spacing w:lineRule="auto" w:line="240" w:before="0" w:after="0"/>
        <w:jc w:val="both"/>
        <w:rPr/>
      </w:pPr>
      <w:r>
        <w:rPr>
          <w:rFonts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rFonts w:cs="Arial"/>
          <w:b/>
          <w:u w:val="single"/>
        </w:rPr>
        <w:t>must</w:t>
      </w:r>
      <w:r>
        <w:rPr>
          <w:rFonts w:cs="Arial"/>
          <w:b/>
        </w:rPr>
        <w:t xml:space="preserve"> provide such details.  </w:t>
      </w:r>
    </w:p>
    <w:p>
      <w:pPr>
        <w:pStyle w:val="Normal"/>
        <w:keepLines/>
        <w:spacing w:lineRule="auto" w:line="240" w:before="0" w:after="0"/>
        <w:jc w:val="both"/>
        <w:rPr>
          <w:rFonts w:cs="Arial"/>
          <w:b/>
          <w:b/>
        </w:rPr>
      </w:pPr>
      <w:r>
        <w:rPr>
          <w:rFonts w:cs="Arial"/>
          <w:b/>
        </w:rPr>
      </w:r>
    </w:p>
    <w:p>
      <w:pPr>
        <w:pStyle w:val="Normal"/>
        <w:keepLines/>
        <w:spacing w:lineRule="auto" w:line="240" w:before="0" w:after="0"/>
        <w:jc w:val="both"/>
        <w:rPr>
          <w:rFonts w:cs="Arial"/>
        </w:rPr>
      </w:pPr>
      <w:r>
        <w:rPr>
          <w:rFonts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pPr>
        <w:pStyle w:val="Normal"/>
        <w:keepLines/>
        <w:spacing w:lineRule="auto" w:line="240" w:before="0" w:after="0"/>
        <w:jc w:val="both"/>
        <w:rPr>
          <w:rFonts w:cs="Arial"/>
          <w:u w:val="single"/>
          <w:lang w:val="en-GB"/>
        </w:rPr>
      </w:pPr>
      <w:r>
        <w:rPr>
          <w:rFonts w:cs="Arial"/>
          <w:u w:val="single"/>
          <w:lang w:val="en-GB"/>
        </w:rPr>
      </w:r>
    </w:p>
    <w:p>
      <w:pPr>
        <w:pStyle w:val="Normal"/>
        <w:keepLines/>
        <w:spacing w:lineRule="auto" w:line="240" w:before="0" w:after="0"/>
        <w:jc w:val="both"/>
        <w:rPr>
          <w:rFonts w:cs="Arial"/>
          <w:lang w:val="en-GB"/>
        </w:rPr>
      </w:pPr>
      <w:r>
        <w:rPr>
          <w:rFonts w:cs="Arial"/>
          <w:lang w:val="en-GB"/>
        </w:rPr>
        <w:t xml:space="preserve">In the event that an applicant is appointed, any failure to disclose the existence of a relationship, whether it be by marriage, blood or as co-habitee, between the applicant or their spouse / civil partner / partner, with a member, or an employee, of the Governing Body of the school / college where the post is situated may be considered a disciplinary offence warranting summary dismissal.    </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rFonts w:cs="Arial"/>
          <w:b/>
          <w:b/>
          <w:lang w:val="en-GB"/>
        </w:rPr>
      </w:pPr>
      <w:r>
        <w:rPr>
          <w:rFonts w:cs="Arial"/>
          <w:b/>
          <w:lang w:val="en-GB"/>
        </w:rPr>
        <w:t>Right to work in the UK</w:t>
      </w:r>
    </w:p>
    <w:p>
      <w:pPr>
        <w:pStyle w:val="Normal"/>
        <w:spacing w:lineRule="auto" w:line="240" w:before="0" w:after="0"/>
        <w:jc w:val="both"/>
        <w:rPr>
          <w:rFonts w:cs="Arial"/>
          <w:b/>
          <w:b/>
          <w:u w:val="single"/>
          <w:lang w:val="en-GB"/>
        </w:rPr>
      </w:pPr>
      <w:r>
        <w:rPr>
          <w:rFonts w:cs="Arial"/>
          <w:b/>
          <w:u w:val="single"/>
          <w:lang w:val="en-GB"/>
        </w:rPr>
      </w:r>
    </w:p>
    <w:p>
      <w:pPr>
        <w:pStyle w:val="Normal"/>
        <w:spacing w:lineRule="auto" w:line="240" w:before="0" w:after="0"/>
        <w:jc w:val="both"/>
        <w:rPr/>
      </w:pPr>
      <w:r>
        <w:rPr/>
        <w:t xml:space="preserve">The Governing Body </w:t>
      </w:r>
      <w:r>
        <w:rPr>
          <w:rFonts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entitled “An employer’s guide to right to work checks” provides a list of the documents that can be provided to demonstrate an applicant’s right to live and work in the UK (see Annex A of the guidance).  </w:t>
      </w:r>
    </w:p>
    <w:p>
      <w:pPr>
        <w:pStyle w:val="Normal"/>
        <w:spacing w:lineRule="auto" w:line="240" w:before="0" w:after="0"/>
        <w:jc w:val="both"/>
        <w:rPr>
          <w:rFonts w:cs="Arial"/>
          <w:lang w:val="en-GB"/>
        </w:rPr>
      </w:pPr>
      <w:r>
        <w:rPr>
          <w:rFonts w:cs="Arial"/>
          <w:lang w:val="en-GB"/>
        </w:rPr>
      </w:r>
    </w:p>
    <w:p>
      <w:pPr>
        <w:pStyle w:val="Normal"/>
        <w:spacing w:lineRule="auto" w:line="240" w:before="0" w:after="0"/>
        <w:jc w:val="both"/>
        <w:rPr>
          <w:rFonts w:cs="Arial"/>
          <w:lang w:val="en-GB"/>
        </w:rPr>
      </w:pPr>
      <w:r>
        <w:rPr>
          <w:rFonts w:cs="Arial"/>
          <w:lang w:val="en-GB"/>
        </w:rP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jc w:val="both"/>
        <w:rPr>
          <w:rFonts w:cs="Arial"/>
          <w:b/>
          <w:b/>
          <w:bCs/>
          <w:lang w:val="en-GB"/>
        </w:rPr>
      </w:pPr>
      <w:r>
        <w:rPr>
          <w:rFonts w:cs="Arial"/>
          <w:b/>
          <w:bCs/>
          <w:lang w:val="en-GB"/>
        </w:rPr>
        <w:t>Language requirements for public sector workers</w:t>
      </w:r>
    </w:p>
    <w:p>
      <w:pPr>
        <w:pStyle w:val="Normal"/>
        <w:keepLines/>
        <w:spacing w:lineRule="auto" w:line="240" w:before="0" w:after="0"/>
        <w:rPr>
          <w:rFonts w:cs="Arial"/>
          <w:b/>
          <w:b/>
          <w:u w:val="single"/>
          <w:lang w:val="en-GB"/>
        </w:rPr>
      </w:pPr>
      <w:r>
        <w:rPr>
          <w:rFonts w:cs="Arial"/>
          <w:b/>
          <w:u w:val="single"/>
          <w:lang w:val="en-GB"/>
        </w:rPr>
      </w:r>
    </w:p>
    <w:p>
      <w:pPr>
        <w:pStyle w:val="Normal"/>
        <w:jc w:val="both"/>
        <w:rPr/>
      </w:pPr>
      <w:r>
        <w:rPr>
          <w:rFonts w:cs="Calibri"/>
        </w:rP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rStyle w:val="FootnoteAnchor"/>
          <w:rStyle w:val="FootnoteAnchor"/>
          <w:rFonts w:cs="Calibri"/>
        </w:rPr>
        <w:footnoteReference w:id="2"/>
      </w:r>
      <w:r>
        <w:rPr>
          <w:rFonts w:cs="Calibri"/>
        </w:rPr>
        <w:t>. The standard of language required is</w:t>
      </w:r>
      <w:r>
        <w:rPr>
          <w:rFonts w:cs="Calibri"/>
          <w:color w:val="000000"/>
        </w:rPr>
        <w:t xml:space="preserve"> satisfied if it is sufficient to enable the effective performance of the person’s role</w:t>
      </w:r>
      <w:r>
        <w:rPr>
          <w:rStyle w:val="FootnoteAnchor"/>
          <w:rStyle w:val="FootnoteAnchor"/>
          <w:rFonts w:cs="Calibri"/>
          <w:color w:val="000000"/>
        </w:rPr>
        <w:footnoteReference w:id="3"/>
      </w:r>
      <w:r>
        <w:rPr>
          <w:rFonts w:cs="Calibri"/>
          <w:color w:val="000000"/>
        </w:rPr>
        <w:t>.</w:t>
      </w:r>
      <w:r>
        <w:rPr>
          <w:rFonts w:cs="Calibri"/>
        </w:rPr>
        <w:t xml:space="preserve"> Please note that this language requirement may be in addition to mandatory English language requirements associated with an applicant’s immigration route. </w:t>
      </w:r>
    </w:p>
    <w:p>
      <w:pPr>
        <w:pStyle w:val="Normal"/>
        <w:keepLines/>
        <w:spacing w:lineRule="auto" w:line="240" w:before="0" w:after="0"/>
        <w:jc w:val="both"/>
        <w:rPr>
          <w:rFonts w:cs="Arial"/>
          <w:lang w:val="en-GB"/>
        </w:rPr>
      </w:pPr>
      <w:r>
        <w:rPr>
          <w:rFonts w:cs="Arial"/>
          <w:lang w:val="en-GB"/>
        </w:rPr>
        <w:t xml:space="preserve">Public facing roles within the public sector would include leadership teams, teachers, support staff and others employed to work in publicly funded schools.  </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b/>
          <w:b/>
          <w:lang w:val="en-GB"/>
        </w:rPr>
      </w:pPr>
      <w:r>
        <w:rPr>
          <w:rFonts w:cs="Arial"/>
          <w:b/>
          <w:lang w:val="en-GB"/>
        </w:rPr>
        <w:t>Declaration</w:t>
      </w:r>
    </w:p>
    <w:p>
      <w:pPr>
        <w:pStyle w:val="Normal"/>
        <w:keepLines/>
        <w:spacing w:lineRule="auto" w:line="240" w:before="0" w:after="0"/>
        <w:jc w:val="both"/>
        <w:rPr>
          <w:rFonts w:cs="Arial"/>
          <w:b/>
          <w:b/>
          <w:u w:val="single"/>
          <w:lang w:val="en-GB"/>
        </w:rPr>
      </w:pPr>
      <w:r>
        <w:rPr>
          <w:rFonts w:cs="Arial"/>
          <w:b/>
          <w:u w:val="single"/>
          <w:lang w:val="en-GB"/>
        </w:rPr>
      </w:r>
    </w:p>
    <w:p>
      <w:pPr>
        <w:pStyle w:val="Normal"/>
        <w:keepLines/>
        <w:spacing w:lineRule="auto" w:line="240" w:before="0" w:after="0"/>
        <w:jc w:val="both"/>
        <w:rPr>
          <w:rFonts w:cs="Arial"/>
          <w:lang w:val="en-GB"/>
        </w:rPr>
      </w:pPr>
      <w:r>
        <w:rPr>
          <w:rFonts w:cs="Arial"/>
          <w:lang w:val="en-GB"/>
        </w:rPr>
        <w:t xml:space="preserve">The Governing Body has a duty to make a report where an applicant provides false information in prescribed circumstances in accordance with the Education Act 2002. </w:t>
      </w:r>
    </w:p>
    <w:p>
      <w:pPr>
        <w:pStyle w:val="Normal"/>
        <w:keepLines/>
        <w:spacing w:lineRule="auto" w:line="240" w:before="0" w:after="0"/>
        <w:jc w:val="both"/>
        <w:rPr>
          <w:rFonts w:cs="Arial"/>
          <w:lang w:val="en-GB"/>
        </w:rPr>
      </w:pPr>
      <w:r>
        <w:rPr>
          <w:rFonts w:cs="Arial"/>
          <w:lang w:val="en-GB"/>
        </w:rPr>
      </w:r>
    </w:p>
    <w:p>
      <w:pPr>
        <w:pStyle w:val="Normal"/>
        <w:keepLines/>
        <w:spacing w:lineRule="auto" w:line="240" w:before="0" w:after="0"/>
        <w:ind w:left="567" w:right="0" w:hanging="567"/>
        <w:jc w:val="both"/>
        <w:rPr>
          <w:rFonts w:cs="Arial"/>
          <w:b/>
          <w:b/>
        </w:rPr>
      </w:pPr>
      <w:r>
        <w:rPr>
          <w:rFonts w:cs="Arial"/>
          <w:b/>
        </w:rPr>
        <w:t>SUPPLEMENTARY FORMS</w:t>
      </w:r>
    </w:p>
    <w:p>
      <w:pPr>
        <w:pStyle w:val="Normal"/>
        <w:keepLines/>
        <w:spacing w:lineRule="auto" w:line="240" w:before="0" w:after="0"/>
        <w:ind w:left="567" w:right="0" w:hanging="567"/>
        <w:jc w:val="both"/>
        <w:rPr>
          <w:rFonts w:cs="Arial"/>
          <w:b/>
          <w:b/>
          <w:u w:val="single"/>
        </w:rPr>
      </w:pPr>
      <w:r>
        <w:rPr>
          <w:rFonts w:cs="Arial"/>
          <w:b/>
          <w:u w:val="single"/>
        </w:rPr>
      </w:r>
    </w:p>
    <w:p>
      <w:pPr>
        <w:pStyle w:val="Normal"/>
        <w:keepLines/>
        <w:spacing w:lineRule="auto" w:line="240" w:before="0" w:after="0"/>
        <w:jc w:val="both"/>
        <w:rPr>
          <w:rFonts w:cs="Arial"/>
          <w:b/>
          <w:b/>
        </w:rPr>
      </w:pPr>
      <w:r>
        <w:rPr>
          <w:rFonts w:cs="Arial"/>
          <w:b/>
        </w:rPr>
        <w:t>Model Recruitment Monitoring Form</w:t>
      </w:r>
    </w:p>
    <w:p>
      <w:pPr>
        <w:pStyle w:val="Normal"/>
        <w:keepLines/>
        <w:spacing w:lineRule="auto" w:line="240" w:before="0" w:after="0"/>
        <w:ind w:left="2367" w:right="0" w:hanging="0"/>
        <w:jc w:val="both"/>
        <w:rPr>
          <w:rFonts w:cs="Arial"/>
          <w:b/>
          <w:b/>
          <w:u w:val="single"/>
        </w:rPr>
      </w:pPr>
      <w:r>
        <w:rPr>
          <w:rFonts w:cs="Arial"/>
          <w:b/>
          <w:u w:val="single"/>
        </w:rPr>
      </w:r>
    </w:p>
    <w:p>
      <w:pPr>
        <w:pStyle w:val="Normal"/>
        <w:keepLines/>
        <w:spacing w:lineRule="auto" w:line="240" w:before="0" w:after="0"/>
        <w:jc w:val="both"/>
        <w:rPr>
          <w:rFonts w:cs="Arial"/>
        </w:rPr>
      </w:pPr>
      <w:r>
        <w:rPr>
          <w:rFonts w:cs="Arial"/>
        </w:rPr>
        <w:t xml:space="preserve">Applicants are not required to complete the Recruitment Monitoring Form, however, if they do, they will be helping the school / college to fulfil its duties under the Equality Act 2010.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rFonts w:cs="Arial"/>
        </w:rPr>
      </w:pPr>
      <w:r>
        <w:rPr>
          <w:rFonts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pPr>
        <w:pStyle w:val="Normal"/>
        <w:keepLines/>
        <w:spacing w:lineRule="auto" w:line="240" w:before="0" w:after="0"/>
        <w:jc w:val="both"/>
        <w:rPr>
          <w:rFonts w:cs="Arial"/>
        </w:rPr>
      </w:pPr>
      <w:r>
        <w:rPr>
          <w:rFonts w:cs="Arial"/>
        </w:rPr>
      </w:r>
    </w:p>
    <w:p>
      <w:pPr>
        <w:pStyle w:val="Normal"/>
        <w:keepLines/>
        <w:spacing w:lineRule="auto" w:line="240" w:before="0" w:after="0"/>
        <w:jc w:val="both"/>
        <w:rPr/>
      </w:pPr>
      <w:r>
        <w:rPr>
          <w:rFonts w:cs="Arial"/>
        </w:rPr>
        <w:t xml:space="preserve">Where applicants wish to complete the Recruitment Monitoring Form, they should return it </w:t>
      </w:r>
      <w:r>
        <w:rPr>
          <w:rFonts w:cs="Arial"/>
          <w:i/>
        </w:rPr>
        <w:t>with</w:t>
      </w:r>
      <w:r>
        <w:rPr>
          <w:rFonts w:cs="Arial"/>
        </w:rPr>
        <w:t xml:space="preserve"> their completed application form but in a </w:t>
      </w:r>
      <w:r>
        <w:rPr>
          <w:rFonts w:cs="Arial"/>
          <w:i/>
        </w:rPr>
        <w:t>separate</w:t>
      </w:r>
      <w:r>
        <w:rPr>
          <w:rFonts w:cs="Arial"/>
        </w:rPr>
        <w:t xml:space="preserve"> sealed envelope clearly marked “Confidential – F.A.O: Recruitment Monitor”. </w:t>
      </w:r>
    </w:p>
    <w:p>
      <w:pPr>
        <w:pStyle w:val="Normal"/>
        <w:keepLines/>
        <w:spacing w:lineRule="auto" w:line="240" w:before="0" w:after="0"/>
        <w:jc w:val="both"/>
        <w:rPr>
          <w:rFonts w:eastAsia="Calibri" w:cs="Calibri"/>
        </w:rPr>
      </w:pPr>
      <w:r>
        <w:rPr>
          <w:rFonts w:eastAsia="Calibri" w:cs="Calibri"/>
        </w:rPr>
        <w:t xml:space="preserve">   </w:t>
      </w:r>
    </w:p>
    <w:p>
      <w:pPr>
        <w:pStyle w:val="Normal"/>
        <w:keepLines/>
        <w:spacing w:lineRule="auto" w:line="240" w:before="0" w:after="0"/>
        <w:jc w:val="both"/>
        <w:rPr>
          <w:rFonts w:cs="Arial"/>
          <w:b/>
          <w:b/>
        </w:rPr>
      </w:pPr>
      <w:r>
        <w:rPr>
          <w:rFonts w:cs="Arial"/>
          <w:b/>
        </w:rPr>
        <w:t>Model Rehabilitation of Offenders Act 1974 – Disclosure Form</w:t>
      </w:r>
    </w:p>
    <w:p>
      <w:pPr>
        <w:pStyle w:val="Normal"/>
        <w:keepLines/>
        <w:spacing w:lineRule="auto" w:line="240" w:before="0" w:after="0"/>
        <w:jc w:val="both"/>
        <w:rPr>
          <w:rFonts w:cs="Arial"/>
          <w:b/>
          <w:b/>
          <w:u w:val="single"/>
        </w:rPr>
      </w:pPr>
      <w:r>
        <w:rPr>
          <w:rFonts w:cs="Arial"/>
          <w:b/>
          <w:u w:val="single"/>
        </w:rPr>
      </w:r>
    </w:p>
    <w:p>
      <w:pPr>
        <w:pStyle w:val="Normal"/>
        <w:keepLines/>
        <w:spacing w:lineRule="auto" w:line="240" w:before="0" w:after="0"/>
        <w:jc w:val="both"/>
        <w:rPr>
          <w:rFonts w:cs="Arial"/>
          <w:iCs/>
          <w:lang w:val="en-GB"/>
        </w:rPr>
      </w:pPr>
      <w:r>
        <w:rPr>
          <w:rFonts w:cs="Arial"/>
          <w:iCs/>
          <w:lang w:val="en-GB"/>
        </w:rP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pPr>
        <w:pStyle w:val="Normal"/>
        <w:keepLines/>
        <w:spacing w:lineRule="auto" w:line="240" w:before="0" w:after="0"/>
        <w:jc w:val="both"/>
        <w:rPr>
          <w:rFonts w:cs="Arial"/>
          <w:iCs/>
        </w:rPr>
      </w:pPr>
      <w:r>
        <w:rPr>
          <w:rFonts w:cs="Arial"/>
          <w:iCs/>
        </w:rPr>
      </w:r>
    </w:p>
    <w:p>
      <w:pPr>
        <w:pStyle w:val="Normal"/>
        <w:keepLines/>
        <w:spacing w:lineRule="auto" w:line="240" w:before="0" w:after="0"/>
        <w:jc w:val="both"/>
        <w:rPr/>
      </w:pPr>
      <w:r>
        <w:rPr>
          <w:rFonts w:cs="Arial"/>
          <w:b/>
          <w:iCs/>
        </w:rPr>
        <w:t>Applicants invited for interview</w:t>
      </w:r>
      <w:r>
        <w:rPr>
          <w:rFonts w:cs="Arial"/>
          <w:iCs/>
        </w:rPr>
        <w:t xml:space="preserve">, should bring The Disclosure Form with them to the interview in a </w:t>
      </w:r>
      <w:r>
        <w:rPr>
          <w:rFonts w:cs="Arial"/>
          <w:b/>
          <w:iCs/>
        </w:rPr>
        <w:t>separate, sealed envelope</w:t>
      </w:r>
      <w:r>
        <w:rPr>
          <w:rFonts w:cs="Arial"/>
          <w:iCs/>
        </w:rPr>
        <w:t xml:space="preserve"> clearly marked “Confidential – Rehabilitation of Offenders Act 1974 – Disclosure Form”.  Interviewees will be asked to hand the form to the interviewer at the end of the interview.</w:t>
      </w:r>
    </w:p>
    <w:p>
      <w:pPr>
        <w:pStyle w:val="Normal"/>
        <w:keepLines/>
        <w:spacing w:lineRule="auto" w:line="240" w:before="0" w:after="0"/>
        <w:jc w:val="both"/>
        <w:rPr>
          <w:rFonts w:cs="Arial"/>
          <w:iCs/>
        </w:rPr>
      </w:pPr>
      <w:r>
        <w:rPr>
          <w:rFonts w:cs="Arial"/>
          <w:iCs/>
        </w:rPr>
      </w:r>
    </w:p>
    <w:p>
      <w:pPr>
        <w:pStyle w:val="Normal"/>
        <w:shd w:fill="FFFFFF" w:val="clear"/>
        <w:jc w:val="both"/>
        <w:rPr/>
      </w:pPr>
      <w:r>
        <w:rPr>
          <w:rFonts w:cs="Arial"/>
          <w:b/>
          <w:bCs/>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keepLines/>
        <w:spacing w:lineRule="auto" w:line="240" w:before="0" w:after="0"/>
        <w:jc w:val="both"/>
        <w:rPr>
          <w:rFonts w:cs="Arial"/>
          <w:iCs/>
          <w:lang w:val="en-GB"/>
        </w:rPr>
      </w:pPr>
      <w:r>
        <w:rPr>
          <w:rFonts w:cs="Arial"/>
          <w:iCs/>
          <w:lang w:val="en-GB"/>
        </w:rPr>
        <w:t>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b/>
          <w:b/>
          <w:iCs/>
          <w:lang w:val="en-GB"/>
        </w:rPr>
      </w:pPr>
      <w:r>
        <w:rPr>
          <w:rFonts w:cs="Arial"/>
          <w:b/>
          <w:iCs/>
          <w:lang w:val="en-GB"/>
        </w:rPr>
        <w:t>Model Consent to Obtain References Form</w:t>
      </w:r>
    </w:p>
    <w:p>
      <w:pPr>
        <w:pStyle w:val="Normal"/>
        <w:keepLines/>
        <w:spacing w:lineRule="auto" w:line="240" w:before="0" w:after="0"/>
        <w:jc w:val="both"/>
        <w:rPr>
          <w:rFonts w:cs="Arial"/>
          <w:b/>
          <w:b/>
          <w:iCs/>
          <w:u w:val="single"/>
          <w:lang w:val="en-GB"/>
        </w:rPr>
      </w:pPr>
      <w:r>
        <w:rPr>
          <w:rFonts w:cs="Arial"/>
          <w:b/>
          <w:iCs/>
          <w:u w:val="single"/>
          <w:lang w:val="en-GB"/>
        </w:rPr>
      </w:r>
    </w:p>
    <w:p>
      <w:pPr>
        <w:pStyle w:val="Normal"/>
        <w:keepLines/>
        <w:spacing w:lineRule="auto" w:line="240" w:before="0" w:after="0"/>
        <w:jc w:val="both"/>
        <w:rPr>
          <w:rFonts w:cs="Arial"/>
          <w:iCs/>
          <w:lang w:val="en-GB"/>
        </w:rPr>
      </w:pPr>
      <w:r>
        <w:rPr>
          <w:rFonts w:cs="Arial"/>
          <w:iCs/>
          <w:lang w:val="en-GB"/>
        </w:rPr>
        <w:t>Applicants should ensure that they complete and return the Consent to Obtain References Form with their completed application.</w:t>
      </w:r>
    </w:p>
    <w:p>
      <w:pPr>
        <w:pStyle w:val="Normal"/>
        <w:keepLines/>
        <w:spacing w:lineRule="auto" w:line="240" w:before="0" w:after="0"/>
        <w:jc w:val="both"/>
        <w:rPr>
          <w:rFonts w:cs="Arial"/>
          <w:iCs/>
          <w:lang w:val="en-GB"/>
        </w:rPr>
      </w:pPr>
      <w:r>
        <w:rPr>
          <w:rFonts w:cs="Arial"/>
          <w:iCs/>
          <w:lang w:val="en-GB"/>
        </w:rPr>
      </w:r>
    </w:p>
    <w:p>
      <w:pPr>
        <w:pStyle w:val="Normal"/>
        <w:keepLines/>
        <w:spacing w:lineRule="auto" w:line="240" w:before="0" w:after="0"/>
        <w:jc w:val="both"/>
        <w:rPr>
          <w:rFonts w:cs="Arial"/>
          <w:iCs/>
          <w:lang w:val="en-GB"/>
        </w:rPr>
      </w:pPr>
      <w:r>
        <w:rPr>
          <w:rFonts w:cs="Arial"/>
          <w:iCs/>
          <w:lang w:val="en-GB"/>
        </w:rPr>
        <w:t>If applicants have any further questions in relation to the position applied for they should contact the school / college where the position applied for is based or they should contact the individual named on the job advertisement.</w:t>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CES Guidance – Model Application Forms – Notes to Applicants – Sept 2013 - updated February 2021, with minor amendment February 2024</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rPr>
        <w:t xml:space="preserve"> </w:t>
      </w:r>
      <w:r>
        <w:rPr>
          <w:lang w:val="en-GB"/>
        </w:rPr>
        <w:t xml:space="preserve">See </w:t>
      </w:r>
      <w:r>
        <w:rPr>
          <w:rStyle w:val="InternetLink"/>
          <w:lang w:val="en-GB"/>
        </w:rPr>
        <w:t>https://assets.publishing.service.gov.uk/government/uploads/system/uploads/attachment_data/file/573013/english_language_requirement_public_sector_workers_code_of_practice_2016.pdf</w:t>
      </w:r>
      <w:r>
        <w:rPr>
          <w:lang w:val="en-GB"/>
        </w:rPr>
        <w:t xml:space="preserve"> </w:t>
      </w:r>
    </w:p>
  </w:footnote>
  <w:footnote w:id="3">
    <w:p>
      <w:pPr>
        <w:pStyle w:val="Footnote"/>
        <w:spacing w:before="0" w:after="200"/>
        <w:rPr/>
      </w:pPr>
      <w:r>
        <w:rPr>
          <w:rStyle w:val="FootnoteCharacters"/>
        </w:rPr>
        <w:footnoteRef/>
      </w:r>
      <w:r>
        <w:rPr>
          <w:rFonts w:eastAsia="Calibri" w:cs="Calibri"/>
        </w:rPr>
        <w:t xml:space="preserve"> </w:t>
      </w:r>
      <w:r>
        <w:rPr>
          <w:lang w:val="en-GB"/>
        </w:rPr>
        <w:t>S.77(8) Immigration Act 2016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7</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367" w:hanging="360"/>
      </w:pPr>
      <w:rPr/>
    </w:lvl>
    <w:lvl w:ilvl="1">
      <w:start w:val="1"/>
      <w:numFmt w:val="decimal"/>
      <w:lvlText w:val="%1.%2."/>
      <w:lvlJc w:val="left"/>
      <w:pPr>
        <w:ind w:left="2880" w:hanging="720"/>
      </w:pPr>
      <w:rPr/>
    </w:lvl>
    <w:lvl w:ilvl="2">
      <w:start w:val="1"/>
      <w:numFmt w:val="decimal"/>
      <w:lvlText w:val="%1.%2.%3."/>
      <w:lvlJc w:val="left"/>
      <w:pPr>
        <w:ind w:left="3240" w:hanging="720"/>
      </w:pPr>
      <w:rPr/>
    </w:lvl>
    <w:lvl w:ilvl="3">
      <w:start w:val="1"/>
      <w:numFmt w:val="decimal"/>
      <w:lvlText w:val="%1.%2.%3.%4."/>
      <w:lvlJc w:val="left"/>
      <w:pPr>
        <w:ind w:left="3960" w:hanging="1080"/>
      </w:pPr>
      <w:rPr/>
    </w:lvl>
    <w:lvl w:ilvl="4">
      <w:start w:val="1"/>
      <w:numFmt w:val="decimal"/>
      <w:lvlText w:val="%1.%2.%3.%4.%5."/>
      <w:lvlJc w:val="left"/>
      <w:pPr>
        <w:ind w:left="4320" w:hanging="1080"/>
      </w:pPr>
      <w:rPr/>
    </w:lvl>
    <w:lvl w:ilvl="5">
      <w:start w:val="1"/>
      <w:numFmt w:val="decimal"/>
      <w:lvlText w:val="%1.%2.%3.%4.%5.%6."/>
      <w:lvlJc w:val="left"/>
      <w:pPr>
        <w:ind w:left="5040" w:hanging="1440"/>
      </w:pPr>
      <w:rPr/>
    </w:lvl>
    <w:lvl w:ilvl="6">
      <w:start w:val="1"/>
      <w:numFmt w:val="decimal"/>
      <w:lvlText w:val="%1.%2.%3.%4.%5.%6.%7."/>
      <w:lvlJc w:val="left"/>
      <w:pPr>
        <w:ind w:left="5400" w:hanging="1440"/>
      </w:pPr>
      <w:rPr/>
    </w:lvl>
    <w:lvl w:ilvl="7">
      <w:start w:val="1"/>
      <w:numFmt w:val="decimal"/>
      <w:lvlText w:val="%1.%2.%3.%4.%5.%6.%7.%8."/>
      <w:lvlJc w:val="left"/>
      <w:pPr>
        <w:ind w:left="6120" w:hanging="1800"/>
      </w:pPr>
      <w:rPr/>
    </w:lvl>
    <w:lvl w:ilvl="8">
      <w:start w:val="1"/>
      <w:numFmt w:val="decimal"/>
      <w:lvlText w:val="%1.%2.%3.%4.%5.%6.%7.%8.%9."/>
      <w:lvlJc w:val="left"/>
      <w:pPr>
        <w:ind w:left="6480" w:hanging="180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UnresolvedMention">
    <w:name w:val="Unresolved Mention"/>
    <w:qFormat/>
    <w:rPr>
      <w:color w:val="808080"/>
      <w:shd w:fill="E6E6E6" w:val="clear"/>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FollowedHyperlink">
    <w:name w:val="FollowedHyperlink"/>
    <w:basedOn w:val="DefaultParagraphFont"/>
    <w:qFormat/>
    <w:rPr>
      <w:color w:val="954F72"/>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2026-04-14T12:24:00Z</dcterms:created>
  <dc:creator>Cassandra Hurley</dc:creator>
  <dc:description/>
  <dc:language>en-US</dc:language>
  <cp:lastModifiedBy>Mrs A. Fagan</cp:lastModifiedBy>
  <cp:lastPrinted>1995-11-21T17:41:00Z</cp:lastPrinted>
  <dcterms:modified xsi:type="dcterms:W3CDTF">2026-04-14T12:24:00Z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