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4983480</wp:posOffset>
            </wp:positionH>
            <wp:positionV relativeFrom="margin">
              <wp:posOffset>-546100</wp:posOffset>
            </wp:positionV>
            <wp:extent cx="576580" cy="5492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2" r="-1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-504825</wp:posOffset>
                </wp:positionH>
                <wp:positionV relativeFrom="paragraph">
                  <wp:posOffset>-518795</wp:posOffset>
                </wp:positionV>
                <wp:extent cx="6676390" cy="957008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390" cy="957008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 id="1"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rFonts w:eastAsia="Comic Sans MS" w:cs="Comic Sans MS"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2"/>
                                <w:szCs w:val="22"/>
                              </w:rPr>
                              <w:t>KINGS ROAD PRIMARY SCHOOL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2"/>
                                <w:szCs w:val="22"/>
                              </w:rPr>
                              <w:t>PERSON SPECIFICATION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2"/>
                                <w:szCs w:val="22"/>
                              </w:rPr>
                              <w:t>CLASS TEACHER</w:t>
                            </w:r>
                          </w:p>
                          <w:tbl>
                            <w:tblPr>
                              <w:tblW w:w="9757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68"/>
                              <w:gridCol w:w="3240"/>
                              <w:gridCol w:w="4249"/>
                            </w:tblGrid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omic Sans MS" w:hAnsi="Comic Sans MS" w:cs="Comic Sans MS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QUALIFICATIONS/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EXPERIENCE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Qualified teacher status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Knowledge and experience of teaching phonics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Experience in Primary sector including subject co-ordination /leadership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Evidence and impact of further professional development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Additional qualifications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PHILOSOPHY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positive outlook on life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Be committed to being part of the vision for the school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Set high expectations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Concerned to promote mutual respect between children, staff, parents and Governors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Child-centred approach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Understanding of the benefits of inclusion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driving ambition for the highest level of progress for every child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ind w:left="284" w:right="0" w:hanging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INTERPERSONAL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Willing to help others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Effective team worker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Patient, resilient, cheerful and a sense of humour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Committed to working in partnership with all stakeholders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Positive outlook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CURRICULUM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 xml:space="preserve">Demonstrate key skills in Literacy and Numeracy 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Appreciation of the importance of the wider curriculum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Excellent practitioner in terms of planning and assessment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Ability to challenge more able pupils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Evidence of impact of subject strengths and expertise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Commitment to offer an extra-curricular activity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An understanding of remote methods of curriculum delivery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4"/>
                                    </w:numPr>
                                    <w:snapToGrid w:val="fals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COMMUNITY AND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PARENTAL LINKS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Understanding of the need to listen to parents</w:t>
                                  </w:r>
                                </w:p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Commitment to working with the wider school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Evidence and commitment to working/liaising with school/ community events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DEEAF6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EVERY CHILD 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MATTERS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passion for the wellbeing and educational attainment of every child</w:t>
                                  </w:r>
                                </w:p>
                              </w:tc>
                              <w:tc>
                                <w:tcPr>
                                  <w:tcW w:w="4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eastAsia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omic Sans MS" w:cs="Comic Sans MS"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omic Sans MS" w:hAnsi="Comic Sans MS" w:eastAsia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omic Sans MS" w:cs="Comic Sans MS"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25.7pt;height:753.55pt;mso-wrap-distance-left:9pt;mso-wrap-distance-right:9pt;mso-wrap-distance-top:0pt;mso-wrap-distance-bottom:0pt;margin-top:-40.85pt;mso-position-vertical-relative:text;margin-left:-39.75pt;mso-position-horizontal-relative:text"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rFonts w:eastAsia="Comic Sans MS" w:cs="Comic Sans MS"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Calibri" w:ascii="Calibri" w:hAnsi="Calibri"/>
                          <w:b/>
                          <w:sz w:val="22"/>
                          <w:szCs w:val="22"/>
                        </w:rPr>
                        <w:t>KINGS ROAD PRIMARY SCHOOL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Calibri" w:hAnsi="Calibri" w:cs="Calibri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b/>
                          <w:sz w:val="22"/>
                          <w:szCs w:val="22"/>
                        </w:rPr>
                        <w:t>PERSON SPECIFICATION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Calibri" w:hAnsi="Calibri" w:cs="Calibri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b/>
                          <w:sz w:val="22"/>
                          <w:szCs w:val="22"/>
                        </w:rPr>
                        <w:t>CLASS TEACHER</w:t>
                      </w:r>
                    </w:p>
                    <w:tbl>
                      <w:tblPr>
                        <w:tblW w:w="9757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68"/>
                        <w:gridCol w:w="3240"/>
                        <w:gridCol w:w="4249"/>
                      </w:tblGrid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omic Sans MS" w:hAnsi="Comic Sans MS" w:cs="Comic Sans MS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z w:val="20"/>
                                <w:szCs w:val="20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z w:val="20"/>
                                <w:szCs w:val="20"/>
                              </w:rPr>
                              <w:t>Desirable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QUALIFICATIONS/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Qualified teacher status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Knowledge and experience of teaching phonics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Experience in Primary sector including subject co-ordination /leadership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Evidence and impact of further professional development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Additional qualifications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PHILOSOPHY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positive outlook on life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Be committed to being part of the vision for the school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Set high expectations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Concerned to promote mutual respect between children, staff, parents and Governors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Child-centred approach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Understanding of the benefits of inclusion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driving ambition for the highest level of progress for every child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snapToGrid w:val="false"/>
                              <w:ind w:left="284" w:right="0" w:hanging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INTERPERSONAL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Willing to help others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Effective team worker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Patient, resilient, cheerful and a sense of humour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Committed to working in partnership with all stakeholders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Positive outlook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 xml:space="preserve">Demonstrate key skills in Literacy and Numeracy 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Appreciation of the importance of the wider curriculum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Excellent practitioner in terms of planning and assessment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Ability to challenge more able pupils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Evidence of impact of subject strengths and expertise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Commitment to offer an extra-curricular activity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An understanding of remote methods of curriculum delivery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snapToGrid w:val="fals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COMMUNITY AND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PARENTAL LINKS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Understanding of the need to listen to parents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Commitment to working with the wider school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Evidence and commitment to working/liaising with school/ community events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DEEAF6" w:val="clear"/>
                          </w:tcPr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EVERY CHILD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MATTERS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passion for the wellbeing and educational attainment of every child</w:t>
                            </w:r>
                          </w:p>
                        </w:tc>
                        <w:tc>
                          <w:tcPr>
                            <w:tcW w:w="4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snapToGrid w:val="fals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jc w:val="center"/>
                        <w:rPr>
                          <w:rFonts w:ascii="Comic Sans MS" w:hAnsi="Comic Sans MS" w:cs="Comic Sans MS"/>
                          <w:b/>
                          <w:b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eastAsia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eastAsia="Comic Sans MS" w:cs="Comic Sans MS"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rPr>
                          <w:rFonts w:ascii="Comic Sans MS" w:hAnsi="Comic Sans MS" w:eastAsia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eastAsia="Comic Sans MS" w:cs="Comic Sans MS"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Georgia" w:hAnsi="Georgia" w:cs="Georgia"/>
          <w:sz w:val="72"/>
          <w:szCs w:val="72"/>
        </w:rPr>
      </w:pPr>
      <w:r>
        <w:rPr>
          <w:rFonts w:cs="Georgia" w:ascii="Georgia" w:hAnsi="Georgia"/>
          <w:sz w:val="72"/>
          <w:szCs w:val="72"/>
        </w:rPr>
      </w:r>
    </w:p>
    <w:p>
      <w:pPr>
        <w:pStyle w:val="Normal"/>
        <w:rPr>
          <w:rFonts w:ascii="Georgia" w:hAnsi="Georgia" w:cs="Georgia"/>
          <w:sz w:val="72"/>
          <w:szCs w:val="72"/>
        </w:rPr>
      </w:pPr>
      <w:r>
        <w:rPr>
          <w:rFonts w:cs="Georgia" w:ascii="Georgia" w:hAnsi="Georgia"/>
          <w:sz w:val="72"/>
          <w:szCs w:val="7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-361950</wp:posOffset>
                </wp:positionH>
                <wp:positionV relativeFrom="paragraph">
                  <wp:posOffset>240665</wp:posOffset>
                </wp:positionV>
                <wp:extent cx="5990590" cy="803402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590" cy="803402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linkedTxbx id="2" seq="1"/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1.7pt;height:632.6pt;mso-wrap-distance-left:9pt;mso-wrap-distance-right:9pt;mso-wrap-distance-top:0pt;mso-wrap-distance-bottom:0pt;margin-top:18.95pt;mso-position-vertical-relative:text;margin-left:-28.5pt;mso-position-horizontal-relative:text"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#bdd6ee" stroked="t" style="position:absolute;margin-left:60.95pt;margin-top:1.05pt;width:284.55pt;height:16.4pt" type="shapetype_136">
            <v:path textpathok="t"/>
            <v:textpath on="t" fitshape="t" string="Excellence without compromise" style="font-family:&quot;Arial Black&quot;;font-size:12pt"/>
            <w10:wrap type="none"/>
            <v:fill o:detectmouseclick="t" type="solid" color2="#422911"/>
            <v:stroke color="black" weight="9360" joinstyle="round" endcap="flat"/>
          </v:shape>
        </w:pi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cs="Times New Roman"/>
      <w:sz w:val="24"/>
      <w:szCs w:val="24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BalloonTextChar">
    <w:name w:val="Balloon Text Char"/>
    <w:qFormat/>
    <w:rPr>
      <w:rFonts w:cs="Times New Roman"/>
      <w:sz w:val="2"/>
    </w:rPr>
  </w:style>
  <w:style w:type="character" w:styleId="Hyperlink34">
    <w:name w:val="Hyperlink34"/>
    <w:qFormat/>
    <w:rPr>
      <w:rFonts w:cs="Times New Roman"/>
      <w:b/>
      <w:bCs/>
      <w:color w:val="444444"/>
      <w:sz w:val="24"/>
      <w:szCs w:val="24"/>
      <w:u w:val="none"/>
    </w:rPr>
  </w:style>
  <w:style w:type="character" w:styleId="Strong">
    <w:name w:val="Strong"/>
    <w:qFormat/>
    <w:rPr>
      <w:rFonts w:cs="Times New Roman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Msotitle3">
    <w:name w:val="msotitle3"/>
    <w:qFormat/>
    <w:pPr>
      <w:widowControl/>
      <w:suppressAutoHyphens w:val="true"/>
      <w:bidi w:val="0"/>
      <w:spacing w:before="0" w:after="0"/>
      <w:jc w:val="left"/>
    </w:pPr>
    <w:rPr>
      <w:rFonts w:ascii="Georgia" w:hAnsi="Georgia" w:eastAsia="Times New Roman" w:cs="Times New Roman"/>
      <w:color w:val="660000"/>
      <w:kern w:val="2"/>
      <w:sz w:val="60"/>
      <w:szCs w:val="60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2" w:leader="none"/>
        <w:tab w:val="right" w:pos="8304" w:leader="none"/>
      </w:tabs>
    </w:pPr>
    <w:rPr>
      <w:color w:val="000000"/>
      <w:kern w:val="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30">
    <w:name w:val="Normal (Web)30"/>
    <w:basedOn w:val="Normal"/>
    <w:qFormat/>
    <w:pPr>
      <w:spacing w:before="0" w:after="192"/>
      <w:ind w:left="150" w:right="0" w:hanging="0"/>
    </w:pPr>
    <w:rPr>
      <w:sz w:val="19"/>
      <w:szCs w:val="19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Lindow Community Primary School.dotx</Template>
  <TotalTime>0</TotalTime>
  <Application>LibreOffice/6.3.4.2$Windows_X86_64 LibreOffice_project/60da17e045e08f1793c57c00ba83cdfce946d0aa</Application>
  <Company>Cheshire County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2026-06-24T10:16:00Z</dcterms:created>
  <dc:creator>sch8752161</dc:creator>
  <dc:description/>
  <dc:language>en-US</dc:language>
  <cp:lastModifiedBy>Jones, Donna</cp:lastModifiedBy>
  <cp:lastPrinted>1995-11-21T17:41:00Z</cp:lastPrinted>
  <dcterms:modified xsi:type="dcterms:W3CDTF">2026-06-24T10:16:00Z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Cheshire County Council</vt:lpwstr>
  </property>
  <property fmtid="{D5CDD505-2E9C-101B-9397-08002B2CF9AE}" pid="4" name="ContentTypeId">
    <vt:lpwstr>0x0101007D3BBB86AB7FDA41803F916BC19F4E06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