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240" w:after="240"/>
        <w:rPr/>
      </w:pPr>
      <w:r>
        <w:rPr/>
      </w:r>
    </w:p>
    <w:p>
      <w:pPr>
        <w:pStyle w:val="Normal"/>
        <w:rPr>
          <w:lang w:val="en-GB" w:eastAsia="en-GB"/>
        </w:rPr>
      </w:pPr>
      <w:r>
        <w:rPr>
          <w:lang w:val="en-GB" w:eastAsia="en-GB"/>
        </w:rPr>
      </w:r>
    </w:p>
    <w:p>
      <w:pPr>
        <w:pStyle w:val="Heading1"/>
        <w:spacing w:lineRule="auto" w:line="360"/>
        <w:jc w:val="center"/>
        <w:rPr/>
      </w:pPr>
      <w:r>
        <w:rPr/>
        <w:t>Job Description and Person Specification</w:t>
      </w:r>
    </w:p>
    <w:p>
      <w:pPr>
        <w:pStyle w:val="Heading1"/>
        <w:spacing w:lineRule="auto" w:line="360"/>
        <w:jc w:val="center"/>
        <w:rPr/>
      </w:pPr>
      <w:r>
        <w:rPr/>
        <w:t>Humanities Teacher</w:t>
      </w:r>
    </w:p>
    <w:p>
      <w:pPr>
        <w:pStyle w:val="Heading2"/>
        <w:spacing w:lineRule="auto" w:line="360"/>
        <w:jc w:val="both"/>
        <w:rPr/>
      </w:pPr>
      <w:r>
        <w:rPr/>
        <w:t>Purpose of the Role</w:t>
      </w:r>
    </w:p>
    <w:p>
      <w:pPr>
        <w:pStyle w:val="Normal"/>
        <w:spacing w:before="280" w:after="280"/>
        <w:jc w:val="both"/>
        <w:rPr>
          <w:bCs w:val="false"/>
          <w:color w:val="585857"/>
          <w:lang w:val="en-GB" w:eastAsia="en-GB"/>
        </w:rPr>
      </w:pPr>
      <w:r>
        <w:rPr>
          <w:bCs w:val="false"/>
          <w:color w:val="585857"/>
          <w:lang w:val="en-GB" w:eastAsia="en-GB"/>
        </w:rPr>
        <w:t>To deliver high-quality, personalised Humanities teaching for secondary-aged pupils with complex SEND, enabling all learners to develop their literacy, communication and confidence.</w:t>
      </w:r>
    </w:p>
    <w:p>
      <w:pPr>
        <w:pStyle w:val="Normal"/>
        <w:spacing w:before="280" w:after="280"/>
        <w:jc w:val="both"/>
        <w:rPr>
          <w:bCs w:val="false"/>
          <w:color w:val="585857"/>
          <w:lang w:val="en-GB" w:eastAsia="en-GB"/>
        </w:rPr>
      </w:pPr>
      <w:r>
        <w:rPr>
          <w:bCs w:val="false"/>
          <w:color w:val="585857"/>
          <w:lang w:val="en-GB" w:eastAsia="en-GB"/>
        </w:rPr>
        <w:t>The postholder will support pupils to achieve across reading, writing, speaking and listening, while contributing to whole-school literacy and communication strategies.</w:t>
      </w:r>
    </w:p>
    <w:p>
      <w:pPr>
        <w:pStyle w:val="Normal"/>
        <w:spacing w:before="0" w:after="0"/>
        <w:jc w:val="both"/>
        <w:rPr>
          <w:bCs w:val="false"/>
          <w:color w:val="585857"/>
          <w:lang w:val="en-GB" w:eastAsia="en-GB"/>
        </w:rPr>
      </w:pPr>
      <w:r>
        <w:rPr>
          <w:bCs w:val="false"/>
          <w:color w:val="585857"/>
          <w:lang w:val="en-GB" w:eastAsia="en-GB"/>
        </w:rPr>
      </w:r>
    </w:p>
    <w:p>
      <w:pPr>
        <w:pStyle w:val="Heading2"/>
        <w:spacing w:lineRule="auto" w:line="360"/>
        <w:jc w:val="both"/>
        <w:rPr/>
      </w:pPr>
      <w:r>
        <w:rPr/>
        <w:t>Key Responsibilities</w:t>
      </w:r>
    </w:p>
    <w:p>
      <w:pPr>
        <w:pStyle w:val="Heading2"/>
        <w:spacing w:lineRule="auto" w:line="360"/>
        <w:jc w:val="both"/>
        <w:rPr/>
      </w:pPr>
      <w:r>
        <w:rPr/>
        <w:t>Teaching, Learning and Curriculum</w:t>
      </w:r>
    </w:p>
    <w:p>
      <w:pPr>
        <w:pStyle w:val="Normal"/>
        <w:numPr>
          <w:ilvl w:val="0"/>
          <w:numId w:val="3"/>
        </w:numPr>
        <w:spacing w:before="280" w:after="0"/>
        <w:jc w:val="both"/>
        <w:rPr>
          <w:bCs w:val="false"/>
          <w:color w:val="585857"/>
          <w:lang w:val="en-GB" w:eastAsia="en-GB"/>
        </w:rPr>
      </w:pPr>
      <w:r>
        <w:rPr>
          <w:bCs w:val="false"/>
          <w:color w:val="585857"/>
          <w:lang w:val="en-GB" w:eastAsia="en-GB"/>
        </w:rPr>
        <w:t xml:space="preserve">Plan and deliver high-quality, personalised Humanities lessons tailored to pupils with complex SEND, including SEMH and Autism </w:t>
      </w:r>
    </w:p>
    <w:p>
      <w:pPr>
        <w:pStyle w:val="Normal"/>
        <w:numPr>
          <w:ilvl w:val="0"/>
          <w:numId w:val="3"/>
        </w:numPr>
        <w:spacing w:before="0" w:after="0"/>
        <w:jc w:val="both"/>
        <w:rPr>
          <w:bCs w:val="false"/>
          <w:color w:val="585857"/>
          <w:lang w:val="en-GB" w:eastAsia="en-GB"/>
        </w:rPr>
      </w:pPr>
      <w:r>
        <w:rPr>
          <w:bCs w:val="false"/>
          <w:color w:val="585857"/>
          <w:lang w:val="en-GB" w:eastAsia="en-GB"/>
        </w:rPr>
        <w:t xml:space="preserve">Deliver an ambitious, sequenced Geography and History curriculum, adapted to meet a wide range of needs and abilities </w:t>
      </w:r>
    </w:p>
    <w:p>
      <w:pPr>
        <w:pStyle w:val="Normal"/>
        <w:numPr>
          <w:ilvl w:val="0"/>
          <w:numId w:val="3"/>
        </w:numPr>
        <w:spacing w:before="0" w:after="0"/>
        <w:jc w:val="both"/>
        <w:rPr>
          <w:bCs w:val="false"/>
          <w:color w:val="585857"/>
          <w:lang w:val="en-GB" w:eastAsia="en-GB"/>
        </w:rPr>
      </w:pPr>
      <w:r>
        <w:rPr>
          <w:bCs w:val="false"/>
          <w:color w:val="585857"/>
          <w:lang w:val="en-GB" w:eastAsia="en-GB"/>
        </w:rPr>
        <w:t xml:space="preserve">Use a range of strategies to support engagement, including scaffolding, modelling, and structured interventions </w:t>
      </w:r>
    </w:p>
    <w:p>
      <w:pPr>
        <w:pStyle w:val="Normal"/>
        <w:numPr>
          <w:ilvl w:val="0"/>
          <w:numId w:val="3"/>
        </w:numPr>
        <w:spacing w:before="0" w:after="280"/>
        <w:jc w:val="both"/>
        <w:rPr>
          <w:bCs w:val="false"/>
          <w:color w:val="585857"/>
          <w:lang w:val="en-GB" w:eastAsia="en-GB"/>
        </w:rPr>
      </w:pPr>
      <w:r>
        <w:rPr>
          <w:bCs w:val="false"/>
          <w:color w:val="585857"/>
          <w:lang w:val="en-GB" w:eastAsia="en-GB"/>
        </w:rPr>
        <w:t xml:space="preserve">Embed communication approaches (e.g. visual supports, total communication) within teaching </w:t>
      </w:r>
    </w:p>
    <w:p>
      <w:pPr>
        <w:pStyle w:val="Normal"/>
        <w:spacing w:before="0" w:after="0"/>
        <w:jc w:val="both"/>
        <w:rPr>
          <w:bCs w:val="false"/>
          <w:color w:val="585857"/>
          <w:lang w:val="en-GB" w:eastAsia="en-GB"/>
        </w:rPr>
      </w:pPr>
      <w:r>
        <w:rPr>
          <w:bCs w:val="false"/>
          <w:color w:val="585857"/>
          <w:lang w:val="en-GB" w:eastAsia="en-GB"/>
        </w:rPr>
      </w:r>
    </w:p>
    <w:p>
      <w:pPr>
        <w:pStyle w:val="Heading2"/>
        <w:spacing w:lineRule="auto" w:line="360"/>
        <w:jc w:val="both"/>
        <w:rPr/>
      </w:pPr>
      <w:r>
        <w:rPr/>
        <w:t>Assessment, Monitoring and Progress</w:t>
      </w:r>
    </w:p>
    <w:p>
      <w:pPr>
        <w:pStyle w:val="Normal"/>
        <w:numPr>
          <w:ilvl w:val="0"/>
          <w:numId w:val="4"/>
        </w:numPr>
        <w:spacing w:before="280" w:after="0"/>
        <w:jc w:val="both"/>
        <w:rPr>
          <w:bCs w:val="false"/>
          <w:color w:val="585857"/>
          <w:lang w:val="en-GB" w:eastAsia="en-GB"/>
        </w:rPr>
      </w:pPr>
      <w:r>
        <w:rPr>
          <w:bCs w:val="false"/>
          <w:color w:val="585857"/>
          <w:lang w:val="en-GB" w:eastAsia="en-GB"/>
        </w:rPr>
        <w:t xml:space="preserve">Apply the principles of assessment, monitoring and evaluation to support pupil progress </w:t>
      </w:r>
    </w:p>
    <w:p>
      <w:pPr>
        <w:pStyle w:val="Normal"/>
        <w:numPr>
          <w:ilvl w:val="0"/>
          <w:numId w:val="4"/>
        </w:numPr>
        <w:spacing w:before="0" w:after="0"/>
        <w:jc w:val="both"/>
        <w:rPr>
          <w:bCs w:val="false"/>
          <w:color w:val="585857"/>
          <w:lang w:val="en-GB" w:eastAsia="en-GB"/>
        </w:rPr>
      </w:pPr>
      <w:r>
        <w:rPr>
          <w:bCs w:val="false"/>
          <w:color w:val="585857"/>
          <w:lang w:val="en-GB" w:eastAsia="en-GB"/>
        </w:rPr>
        <w:t xml:space="preserve">Use assessment data effectively to plan for sustained development across reading, writing and communication </w:t>
      </w:r>
    </w:p>
    <w:p>
      <w:pPr>
        <w:pStyle w:val="Normal"/>
        <w:numPr>
          <w:ilvl w:val="0"/>
          <w:numId w:val="4"/>
        </w:numPr>
        <w:spacing w:before="0" w:after="0"/>
        <w:jc w:val="both"/>
        <w:rPr>
          <w:bCs w:val="false"/>
          <w:color w:val="585857"/>
          <w:lang w:val="en-GB" w:eastAsia="en-GB"/>
        </w:rPr>
      </w:pPr>
      <w:r>
        <w:rPr>
          <w:bCs w:val="false"/>
          <w:color w:val="585857"/>
          <w:lang w:val="en-GB" w:eastAsia="en-GB"/>
        </w:rPr>
        <w:t xml:space="preserve">Track pupil progress against EHCP outcomes and curriculum expectations </w:t>
      </w:r>
    </w:p>
    <w:p>
      <w:pPr>
        <w:pStyle w:val="Normal"/>
        <w:numPr>
          <w:ilvl w:val="0"/>
          <w:numId w:val="4"/>
        </w:numPr>
        <w:spacing w:before="0" w:after="280"/>
        <w:jc w:val="both"/>
        <w:rPr>
          <w:bCs w:val="false"/>
          <w:color w:val="585857"/>
          <w:lang w:val="en-GB" w:eastAsia="en-GB"/>
        </w:rPr>
      </w:pPr>
      <w:r>
        <w:rPr>
          <w:bCs w:val="false"/>
          <w:color w:val="585857"/>
          <w:lang w:val="en-GB" w:eastAsia="en-GB"/>
        </w:rPr>
        <w:t xml:space="preserve">Provide clear and constructive feedback to pupils, parents and carers </w:t>
      </w:r>
    </w:p>
    <w:p>
      <w:pPr>
        <w:pStyle w:val="Normal"/>
        <w:spacing w:before="280" w:after="280"/>
        <w:ind w:left="720" w:right="0" w:hanging="0"/>
        <w:jc w:val="both"/>
        <w:rPr>
          <w:bCs w:val="false"/>
          <w:color w:val="585857"/>
          <w:lang w:val="en-GB" w:eastAsia="en-GB"/>
        </w:rPr>
      </w:pPr>
      <w:r>
        <w:rPr>
          <w:bCs w:val="false"/>
          <w:color w:val="585857"/>
          <w:lang w:val="en-GB" w:eastAsia="en-GB"/>
        </w:rPr>
      </w:r>
    </w:p>
    <w:p>
      <w:pPr>
        <w:pStyle w:val="Normal"/>
        <w:spacing w:before="280" w:after="280"/>
        <w:ind w:left="720" w:right="0" w:hanging="0"/>
        <w:jc w:val="both"/>
        <w:rPr>
          <w:bCs w:val="false"/>
          <w:color w:val="585857"/>
          <w:lang w:val="en-GB" w:eastAsia="en-GB"/>
        </w:rPr>
      </w:pPr>
      <w:r>
        <w:rPr>
          <w:bCs w:val="false"/>
          <w:color w:val="585857"/>
          <w:lang w:val="en-GB" w:eastAsia="en-GB"/>
        </w:rPr>
      </w:r>
    </w:p>
    <w:p>
      <w:pPr>
        <w:pStyle w:val="Heading2"/>
        <w:spacing w:lineRule="auto" w:line="360"/>
        <w:jc w:val="both"/>
        <w:rPr/>
      </w:pPr>
      <w:r>
        <w:rPr/>
        <w:t>Behaviour, Safety and Safeguarding</w:t>
      </w:r>
    </w:p>
    <w:p>
      <w:pPr>
        <w:pStyle w:val="Normal"/>
        <w:numPr>
          <w:ilvl w:val="0"/>
          <w:numId w:val="5"/>
        </w:numPr>
        <w:spacing w:before="280" w:after="0"/>
        <w:jc w:val="both"/>
        <w:rPr>
          <w:bCs w:val="false"/>
          <w:color w:val="585857"/>
          <w:lang w:val="en-GB" w:eastAsia="en-GB"/>
        </w:rPr>
      </w:pPr>
      <w:r>
        <w:rPr>
          <w:bCs w:val="false"/>
          <w:color w:val="585857"/>
          <w:lang w:val="en-GB" w:eastAsia="en-GB"/>
        </w:rPr>
        <w:t xml:space="preserve">Maintain a safe, structured and inclusive learning environment </w:t>
      </w:r>
    </w:p>
    <w:p>
      <w:pPr>
        <w:pStyle w:val="Normal"/>
        <w:numPr>
          <w:ilvl w:val="0"/>
          <w:numId w:val="5"/>
        </w:numPr>
        <w:spacing w:before="0" w:after="0"/>
        <w:jc w:val="both"/>
        <w:rPr>
          <w:bCs w:val="false"/>
          <w:color w:val="585857"/>
          <w:lang w:val="en-GB" w:eastAsia="en-GB"/>
        </w:rPr>
      </w:pPr>
      <w:r>
        <w:rPr>
          <w:bCs w:val="false"/>
          <w:color w:val="585857"/>
          <w:lang w:val="en-GB" w:eastAsia="en-GB"/>
        </w:rPr>
        <w:t xml:space="preserve">Promote positive behaviour and emotional regulation strategies </w:t>
      </w:r>
    </w:p>
    <w:p>
      <w:pPr>
        <w:pStyle w:val="Normal"/>
        <w:numPr>
          <w:ilvl w:val="0"/>
          <w:numId w:val="5"/>
        </w:numPr>
        <w:spacing w:before="0" w:after="0"/>
        <w:jc w:val="both"/>
        <w:rPr>
          <w:bCs w:val="false"/>
          <w:color w:val="585857"/>
          <w:lang w:val="en-GB" w:eastAsia="en-GB"/>
        </w:rPr>
      </w:pPr>
      <w:r>
        <w:rPr>
          <w:bCs w:val="false"/>
          <w:color w:val="585857"/>
          <w:lang w:val="en-GB" w:eastAsia="en-GB"/>
        </w:rPr>
        <w:t xml:space="preserve">Ensure safeguarding responsibilities are met in line with Keeping Children Safe in Education </w:t>
      </w:r>
    </w:p>
    <w:p>
      <w:pPr>
        <w:pStyle w:val="Normal"/>
        <w:numPr>
          <w:ilvl w:val="0"/>
          <w:numId w:val="5"/>
        </w:numPr>
        <w:spacing w:before="0" w:after="280"/>
        <w:jc w:val="both"/>
        <w:rPr>
          <w:bCs w:val="false"/>
          <w:color w:val="585857"/>
          <w:lang w:val="en-GB" w:eastAsia="en-GB"/>
        </w:rPr>
      </w:pPr>
      <w:r>
        <w:rPr>
          <w:bCs w:val="false"/>
          <w:color w:val="585857"/>
          <w:lang w:val="en-GB" w:eastAsia="en-GB"/>
        </w:rPr>
        <w:t xml:space="preserve">Support pupils’ social, emotional and mental health needs through consistent practice </w:t>
      </w:r>
    </w:p>
    <w:p>
      <w:pPr>
        <w:pStyle w:val="Heading2"/>
        <w:spacing w:lineRule="auto" w:line="360"/>
        <w:jc w:val="both"/>
        <w:rPr/>
      </w:pPr>
      <w:r>
        <w:rPr/>
        <w:t>Whole-School Contribution</w:t>
      </w:r>
    </w:p>
    <w:p>
      <w:pPr>
        <w:pStyle w:val="Normal"/>
        <w:numPr>
          <w:ilvl w:val="0"/>
          <w:numId w:val="6"/>
        </w:numPr>
        <w:spacing w:before="280" w:after="0"/>
        <w:jc w:val="both"/>
        <w:rPr>
          <w:bCs w:val="false"/>
          <w:color w:val="585857"/>
          <w:lang w:val="en-GB" w:eastAsia="en-GB"/>
        </w:rPr>
      </w:pPr>
      <w:r>
        <w:rPr>
          <w:bCs w:val="false"/>
          <w:color w:val="585857"/>
          <w:lang w:val="en-GB" w:eastAsia="en-GB"/>
        </w:rPr>
        <w:t xml:space="preserve">Contribute to whole-school literacy development, including cross-curricular strategies </w:t>
      </w:r>
    </w:p>
    <w:p>
      <w:pPr>
        <w:pStyle w:val="Normal"/>
        <w:numPr>
          <w:ilvl w:val="0"/>
          <w:numId w:val="6"/>
        </w:numPr>
        <w:spacing w:before="0" w:after="280"/>
        <w:jc w:val="both"/>
        <w:rPr>
          <w:bCs w:val="false"/>
          <w:color w:val="585857"/>
          <w:lang w:val="en-GB" w:eastAsia="en-GB"/>
        </w:rPr>
      </w:pPr>
      <w:r>
        <w:rPr>
          <w:bCs w:val="false"/>
          <w:color w:val="585857"/>
          <w:lang w:val="en-GB" w:eastAsia="en-GB"/>
        </w:rPr>
        <w:t xml:space="preserve">Promote high standards of spoken language, reading and writing across all subjects </w:t>
      </w:r>
    </w:p>
    <w:p>
      <w:pPr>
        <w:pStyle w:val="Heading2"/>
        <w:spacing w:lineRule="auto" w:line="360"/>
        <w:jc w:val="both"/>
        <w:rPr/>
      </w:pPr>
      <w:r>
        <w:rPr/>
        <w:t>Quality Assurance and School Improvement</w:t>
      </w:r>
    </w:p>
    <w:p>
      <w:pPr>
        <w:pStyle w:val="Normal"/>
        <w:numPr>
          <w:ilvl w:val="0"/>
          <w:numId w:val="7"/>
        </w:numPr>
        <w:spacing w:before="280" w:after="0"/>
        <w:jc w:val="both"/>
        <w:rPr>
          <w:bCs w:val="false"/>
          <w:color w:val="585857"/>
          <w:lang w:val="en-GB" w:eastAsia="en-GB"/>
        </w:rPr>
      </w:pPr>
      <w:r>
        <w:rPr>
          <w:bCs w:val="false"/>
          <w:color w:val="585857"/>
          <w:lang w:val="en-GB" w:eastAsia="en-GB"/>
        </w:rPr>
        <w:t xml:space="preserve">Engage with monitoring and evaluation processes, including lesson observations, book scrutiny and data analysis </w:t>
      </w:r>
    </w:p>
    <w:p>
      <w:pPr>
        <w:pStyle w:val="Normal"/>
        <w:numPr>
          <w:ilvl w:val="0"/>
          <w:numId w:val="7"/>
        </w:numPr>
        <w:spacing w:before="0" w:after="0"/>
        <w:jc w:val="both"/>
        <w:rPr>
          <w:bCs w:val="false"/>
          <w:color w:val="585857"/>
          <w:lang w:val="en-GB" w:eastAsia="en-GB"/>
        </w:rPr>
      </w:pPr>
      <w:r>
        <w:rPr>
          <w:bCs w:val="false"/>
          <w:color w:val="585857"/>
          <w:lang w:val="en-GB" w:eastAsia="en-GB"/>
        </w:rPr>
        <w:t xml:space="preserve">Contribute to school self-evaluation and improvement planning </w:t>
      </w:r>
    </w:p>
    <w:p>
      <w:pPr>
        <w:pStyle w:val="Normal"/>
        <w:numPr>
          <w:ilvl w:val="0"/>
          <w:numId w:val="7"/>
        </w:numPr>
        <w:spacing w:before="0" w:after="280"/>
        <w:jc w:val="both"/>
        <w:rPr>
          <w:bCs w:val="false"/>
          <w:color w:val="585857"/>
          <w:lang w:val="en-GB" w:eastAsia="en-GB"/>
        </w:rPr>
      </w:pPr>
      <w:r>
        <w:rPr>
          <w:bCs w:val="false"/>
          <w:color w:val="585857"/>
          <w:lang w:val="en-GB" w:eastAsia="en-GB"/>
        </w:rPr>
        <w:t xml:space="preserve">Reflect on practice and engage in CPD to continually improve teaching </w:t>
      </w:r>
    </w:p>
    <w:p>
      <w:pPr>
        <w:pStyle w:val="Heading2"/>
        <w:spacing w:lineRule="auto" w:line="360"/>
        <w:jc w:val="both"/>
        <w:rPr/>
      </w:pPr>
      <w:r>
        <w:rPr/>
        <w:t>Teamwork and Professional Responsibilities</w:t>
      </w:r>
    </w:p>
    <w:p>
      <w:pPr>
        <w:pStyle w:val="Normal"/>
        <w:numPr>
          <w:ilvl w:val="0"/>
          <w:numId w:val="8"/>
        </w:numPr>
        <w:spacing w:before="280" w:after="0"/>
        <w:jc w:val="both"/>
        <w:rPr>
          <w:bCs w:val="false"/>
          <w:color w:val="585857"/>
          <w:lang w:val="en-GB" w:eastAsia="en-GB"/>
        </w:rPr>
      </w:pPr>
      <w:r>
        <w:rPr>
          <w:bCs w:val="false"/>
          <w:color w:val="585857"/>
          <w:lang w:val="en-GB" w:eastAsia="en-GB"/>
        </w:rPr>
        <w:t xml:space="preserve">Work collaboratively with Teaching Assistants, therapists and external agencies </w:t>
      </w:r>
    </w:p>
    <w:p>
      <w:pPr>
        <w:pStyle w:val="Normal"/>
        <w:numPr>
          <w:ilvl w:val="0"/>
          <w:numId w:val="8"/>
        </w:numPr>
        <w:spacing w:before="0" w:after="0"/>
        <w:jc w:val="both"/>
        <w:rPr>
          <w:bCs w:val="false"/>
          <w:color w:val="585857"/>
          <w:lang w:val="en-GB" w:eastAsia="en-GB"/>
        </w:rPr>
      </w:pPr>
      <w:r>
        <w:rPr>
          <w:bCs w:val="false"/>
          <w:color w:val="585857"/>
          <w:lang w:val="en-GB" w:eastAsia="en-GB"/>
        </w:rPr>
        <w:t xml:space="preserve">Contribute to multi-agency working to support pupil outcomes </w:t>
      </w:r>
    </w:p>
    <w:p>
      <w:pPr>
        <w:pStyle w:val="Normal"/>
        <w:numPr>
          <w:ilvl w:val="0"/>
          <w:numId w:val="8"/>
        </w:numPr>
        <w:spacing w:before="0" w:after="0"/>
        <w:jc w:val="both"/>
        <w:rPr>
          <w:bCs w:val="false"/>
          <w:color w:val="585857"/>
          <w:lang w:val="en-GB" w:eastAsia="en-GB"/>
        </w:rPr>
      </w:pPr>
      <w:r>
        <w:rPr>
          <w:bCs w:val="false"/>
          <w:color w:val="585857"/>
          <w:lang w:val="en-GB" w:eastAsia="en-GB"/>
        </w:rPr>
        <w:t xml:space="preserve">Fulfil professional duties in line with the School Teachers' Pay and Conditions Document </w:t>
      </w:r>
    </w:p>
    <w:p>
      <w:pPr>
        <w:pStyle w:val="Normal"/>
        <w:numPr>
          <w:ilvl w:val="0"/>
          <w:numId w:val="8"/>
        </w:numPr>
        <w:spacing w:before="0" w:after="280"/>
        <w:jc w:val="both"/>
        <w:rPr>
          <w:bCs w:val="false"/>
          <w:color w:val="585857"/>
          <w:lang w:val="en-GB" w:eastAsia="en-GB"/>
        </w:rPr>
      </w:pPr>
      <w:r>
        <w:rPr>
          <w:bCs w:val="false"/>
          <w:color w:val="585857"/>
          <w:lang w:val="en-GB" w:eastAsia="en-GB"/>
        </w:rPr>
        <w:t>Participate in performance management and professional development</w:t>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Heading2"/>
        <w:rPr>
          <w:rFonts w:ascii="Arial" w:hAnsi="Arial" w:cs="Arial"/>
        </w:rPr>
      </w:pPr>
      <w:r>
        <w:rPr>
          <w:rFonts w:cs="Arial" w:ascii="Arial" w:hAnsi="Arial"/>
        </w:rPr>
        <w:t xml:space="preserve">Person Specification </w:t>
      </w:r>
    </w:p>
    <w:p>
      <w:pPr>
        <w:pStyle w:val="Normal"/>
        <w:numPr>
          <w:ilvl w:val="0"/>
          <w:numId w:val="0"/>
        </w:numPr>
        <w:spacing w:lineRule="auto" w:line="240"/>
        <w:ind w:left="0" w:hanging="0"/>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tbl>
      <w:tblPr>
        <w:tblW w:w="9716" w:type="dxa"/>
        <w:jc w:val="left"/>
        <w:tblInd w:w="0" w:type="dxa"/>
        <w:tblCellMar>
          <w:top w:w="0" w:type="dxa"/>
          <w:left w:w="108" w:type="dxa"/>
          <w:bottom w:w="0" w:type="dxa"/>
          <w:right w:w="108" w:type="dxa"/>
        </w:tblCellMar>
      </w:tblPr>
      <w:tblGrid>
        <w:gridCol w:w="1695"/>
        <w:gridCol w:w="3829"/>
        <w:gridCol w:w="2835"/>
        <w:gridCol w:w="425"/>
        <w:gridCol w:w="426"/>
        <w:gridCol w:w="506"/>
      </w:tblGrid>
      <w:tr>
        <w:trPr>
          <w:trHeight w:val="1459" w:hRule="atLeast"/>
          <w:cantSplit w:val="true"/>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360" w:before="0" w:after="240"/>
              <w:rPr>
                <w:rFonts w:eastAsia="Arial" w:cs="Arial"/>
                <w:b/>
                <w:b/>
                <w:color w:val="4F5252"/>
                <w:lang w:val="en-GB" w:eastAsia="en-GB"/>
              </w:rPr>
            </w:pPr>
            <w:r>
              <w:rPr>
                <w:rFonts w:eastAsia="Arial" w:cs="Arial"/>
                <w:b/>
                <w:color w:val="4F5252"/>
                <w:lang w:val="en-GB" w:eastAsia="en-GB"/>
              </w:rPr>
            </w:r>
          </w:p>
        </w:tc>
        <w:tc>
          <w:tcPr>
            <w:tcW w:w="3829"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eastAsia="Arial" w:cs="Arial"/>
                <w:b/>
                <w:b/>
                <w:color w:val="4F5252"/>
                <w:lang w:val="en-GB" w:eastAsia="en-GB"/>
              </w:rPr>
            </w:pPr>
            <w:r>
              <w:rPr>
                <w:rFonts w:eastAsia="Arial" w:cs="Arial"/>
                <w:b/>
                <w:color w:val="4F5252"/>
                <w:lang w:val="en-GB" w:eastAsia="en-GB"/>
              </w:rPr>
              <w:t>Essential</w:t>
            </w:r>
          </w:p>
        </w:tc>
        <w:tc>
          <w:tcPr>
            <w:tcW w:w="283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eastAsia="Arial" w:cs="Arial"/>
                <w:b/>
                <w:b/>
                <w:color w:val="4F5252"/>
                <w:lang w:val="en-GB" w:eastAsia="en-GB"/>
              </w:rPr>
            </w:pPr>
            <w:r>
              <w:rPr>
                <w:rFonts w:eastAsia="Arial" w:cs="Arial"/>
                <w:b/>
                <w:color w:val="4F5252"/>
                <w:lang w:val="en-GB" w:eastAsia="en-GB"/>
              </w:rPr>
              <w:t>Desirable</w:t>
            </w:r>
          </w:p>
        </w:tc>
        <w:tc>
          <w:tcPr>
            <w:tcW w:w="425" w:type="dxa"/>
            <w:tcBorders>
              <w:top w:val="single" w:sz="4" w:space="0" w:color="000000"/>
              <w:left w:val="single" w:sz="4" w:space="0" w:color="000000"/>
              <w:bottom w:val="single" w:sz="4" w:space="0" w:color="000000"/>
            </w:tcBorders>
            <w:shd w:fill="auto" w:val="clear"/>
            <w:textDirection w:val="btLr"/>
          </w:tcPr>
          <w:p>
            <w:pPr>
              <w:pStyle w:val="Normal"/>
              <w:spacing w:lineRule="auto" w:line="360" w:before="0" w:after="240"/>
              <w:ind w:left="113" w:right="113" w:hanging="0"/>
              <w:rPr>
                <w:rFonts w:eastAsia="Arial" w:cs="Arial"/>
                <w:b/>
                <w:b/>
                <w:color w:val="4F5252"/>
                <w:lang w:val="en-GB" w:eastAsia="en-GB"/>
              </w:rPr>
            </w:pPr>
            <w:r>
              <w:rPr>
                <w:rFonts w:eastAsia="Arial" w:cs="Arial"/>
                <w:b/>
                <w:color w:val="4F5252"/>
                <w:lang w:val="en-GB" w:eastAsia="en-GB"/>
              </w:rPr>
              <w:t xml:space="preserve">Application </w:t>
            </w:r>
          </w:p>
        </w:tc>
        <w:tc>
          <w:tcPr>
            <w:tcW w:w="426" w:type="dxa"/>
            <w:tcBorders>
              <w:top w:val="single" w:sz="4" w:space="0" w:color="000000"/>
              <w:left w:val="single" w:sz="4" w:space="0" w:color="000000"/>
              <w:bottom w:val="single" w:sz="4" w:space="0" w:color="000000"/>
            </w:tcBorders>
            <w:shd w:fill="auto" w:val="clear"/>
            <w:textDirection w:val="btLr"/>
          </w:tcPr>
          <w:p>
            <w:pPr>
              <w:pStyle w:val="Normal"/>
              <w:spacing w:lineRule="auto" w:line="360" w:before="0" w:after="240"/>
              <w:ind w:left="113" w:right="113" w:hanging="0"/>
              <w:rPr>
                <w:rFonts w:eastAsia="Arial" w:cs="Arial"/>
                <w:b/>
                <w:b/>
                <w:color w:val="4F5252"/>
                <w:lang w:val="en-GB" w:eastAsia="en-GB"/>
              </w:rPr>
            </w:pPr>
            <w:r>
              <w:rPr>
                <w:rFonts w:eastAsia="Arial" w:cs="Arial"/>
                <w:b/>
                <w:color w:val="4F5252"/>
                <w:lang w:val="en-GB" w:eastAsia="en-GB"/>
              </w:rPr>
              <w:t>Observation</w:t>
            </w:r>
          </w:p>
        </w:tc>
        <w:tc>
          <w:tcPr>
            <w:tcW w:w="506" w:type="dxa"/>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spacing w:lineRule="auto" w:line="360" w:before="0" w:after="240"/>
              <w:ind w:left="113" w:right="113" w:hanging="0"/>
              <w:rPr>
                <w:rFonts w:eastAsia="Arial" w:cs="Arial"/>
                <w:b/>
                <w:b/>
                <w:color w:val="4F5252"/>
                <w:lang w:val="en-GB" w:eastAsia="en-GB"/>
              </w:rPr>
            </w:pPr>
            <w:r>
              <w:rPr>
                <w:rFonts w:eastAsia="Arial" w:cs="Arial"/>
                <w:b/>
                <w:color w:val="4F5252"/>
                <w:lang w:val="en-GB" w:eastAsia="en-GB"/>
              </w:rPr>
              <w:t>Interview</w:t>
            </w:r>
          </w:p>
        </w:tc>
      </w:tr>
      <w:tr>
        <w:trPr/>
        <w:tc>
          <w:tcPr>
            <w:tcW w:w="169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eastAsia="Arial" w:cs="Arial"/>
                <w:b/>
                <w:b/>
                <w:color w:val="4F5252"/>
                <w:lang w:val="en-GB" w:eastAsia="en-GB"/>
              </w:rPr>
            </w:pPr>
            <w:r>
              <w:rPr>
                <w:rFonts w:eastAsia="Arial" w:cs="Arial"/>
                <w:b/>
                <w:color w:val="4F5252"/>
                <w:lang w:val="en-GB" w:eastAsia="en-GB"/>
              </w:rPr>
              <w:t>Qualifications</w:t>
            </w:r>
          </w:p>
        </w:tc>
        <w:tc>
          <w:tcPr>
            <w:tcW w:w="3829"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An undergraduate degree in a relevant subject area</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Qualified teacher status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Additional CPD undertaken specifically on supporting pupils with SEN</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 xml:space="preserve">Geography or History Qualification </w:t>
            </w:r>
          </w:p>
        </w:tc>
        <w:tc>
          <w:tcPr>
            <w:tcW w:w="2835"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 xml:space="preserve">SEN specialism </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Knowledge and understanding of a trauma-informed way of working in schools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 knowledge and understanding of working with SEND students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Attachment awareness and the ability to put knowledge into practice</w:t>
            </w:r>
          </w:p>
        </w:tc>
        <w:tc>
          <w:tcPr>
            <w:tcW w:w="42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c>
          <w:tcPr>
            <w:tcW w:w="426" w:type="dxa"/>
            <w:tcBorders>
              <w:top w:val="single" w:sz="4" w:space="0" w:color="000000"/>
              <w:left w:val="single" w:sz="4" w:space="0" w:color="000000"/>
              <w:bottom w:val="single" w:sz="4" w:space="0" w:color="000000"/>
            </w:tcBorders>
            <w:shd w:fill="auto" w:val="clear"/>
          </w:tcPr>
          <w:p>
            <w:pPr>
              <w:pStyle w:val="Normal"/>
              <w:snapToGrid w:val="false"/>
              <w:spacing w:lineRule="auto" w:line="360" w:before="0" w:after="240"/>
              <w:rPr>
                <w:rFonts w:eastAsia="Arial" w:cs="Arial"/>
                <w:b/>
                <w:b/>
                <w:color w:val="4F5252"/>
                <w:lang w:val="en-GB" w:eastAsia="en-GB"/>
              </w:rPr>
            </w:pPr>
            <w:r>
              <w:rPr>
                <w:rFonts w:eastAsia="Arial" w:cs="Arial"/>
                <w:b/>
                <w:color w:val="4F5252"/>
                <w:lang w:val="en-GB" w:eastAsia="en-GB"/>
              </w:rPr>
            </w:r>
          </w:p>
        </w:tc>
        <w:tc>
          <w:tcPr>
            <w:tcW w:w="5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r>
      <w:tr>
        <w:trPr/>
        <w:tc>
          <w:tcPr>
            <w:tcW w:w="169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eastAsia="Arial" w:cs="Arial"/>
                <w:b/>
                <w:b/>
                <w:color w:val="4F5252"/>
                <w:lang w:val="en-GB" w:eastAsia="en-GB"/>
              </w:rPr>
            </w:pPr>
            <w:r>
              <w:rPr>
                <w:rFonts w:eastAsia="Arial" w:cs="Arial"/>
                <w:b/>
                <w:color w:val="4F5252"/>
                <w:lang w:val="en-GB" w:eastAsia="en-GB"/>
              </w:rPr>
              <w:t>Experience</w:t>
            </w:r>
          </w:p>
        </w:tc>
        <w:tc>
          <w:tcPr>
            <w:tcW w:w="3829"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Experience or expertise in SEN starting at Entry Level qualifications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Experience of maintaining a high-quality, safe and stimulating learning environment</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Ability to teach using a wide variety of strategies to maximise achievement for all children, including those with special educational needs and high achievers and to meet differing learning styles.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Experience in creating and maintaining effective partnerships with parents to support pupils’ learning</w:t>
            </w:r>
          </w:p>
        </w:tc>
        <w:tc>
          <w:tcPr>
            <w:tcW w:w="2835"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Experience of working up to GCSE</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Experience of using de-escalation strategies outlined by Team Teach</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Specific examples of maintaining high expectations to allow all pupils to fulfil their full potential</w:t>
            </w:r>
          </w:p>
        </w:tc>
        <w:tc>
          <w:tcPr>
            <w:tcW w:w="42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c>
          <w:tcPr>
            <w:tcW w:w="426"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c>
          <w:tcPr>
            <w:tcW w:w="5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r>
      <w:tr>
        <w:trPr/>
        <w:tc>
          <w:tcPr>
            <w:tcW w:w="169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eastAsia="Arial" w:cs="Arial"/>
                <w:b/>
                <w:b/>
                <w:color w:val="4F5252"/>
                <w:lang w:val="en-GB" w:eastAsia="en-GB"/>
              </w:rPr>
            </w:pPr>
            <w:r>
              <w:rPr>
                <w:rFonts w:eastAsia="Arial" w:cs="Arial"/>
                <w:b/>
                <w:color w:val="4F5252"/>
                <w:lang w:val="en-GB" w:eastAsia="en-GB"/>
              </w:rPr>
              <w:t>Professional Understanding, Knowledge and Skills</w:t>
            </w:r>
          </w:p>
        </w:tc>
        <w:tc>
          <w:tcPr>
            <w:tcW w:w="3829"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Have the ability to assess and record the progress of pupils’ learning to inform next steps and monitor progress.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To be able to analyse data to set targets and next steps to achieve SMART targets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An in-depth knowledge and understanding of safeguarding and how to promote the wellbeing of pupils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Awareness of the Education Acts and the SEND Code of Practice</w:t>
            </w:r>
          </w:p>
        </w:tc>
        <w:tc>
          <w:tcPr>
            <w:tcW w:w="2835"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Experience of working with other agencies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 xml:space="preserve">Experience of working collaboratively with other schools, universities and organisations </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 xml:space="preserve">Sound knowledge of assessment in English </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Knowledge of how the curriculum can be adapted to meet the needs of pupils with a range of SEN relevant to the age range of the school, including assessment recording and reporting</w:t>
            </w:r>
          </w:p>
          <w:p>
            <w:pPr>
              <w:pStyle w:val="Normal"/>
              <w:spacing w:lineRule="auto" w:line="360" w:before="0" w:after="240"/>
              <w:ind w:left="360" w:right="0" w:hanging="0"/>
              <w:rPr>
                <w:rFonts w:eastAsia="Arial" w:cs="Arial"/>
                <w:bCs w:val="false"/>
                <w:color w:val="4F5252"/>
                <w:lang w:val="en-GB" w:eastAsia="en-GB"/>
              </w:rPr>
            </w:pPr>
            <w:r>
              <w:rPr>
                <w:rFonts w:eastAsia="Arial" w:cs="Arial"/>
                <w:bCs w:val="false"/>
                <w:color w:val="4F5252"/>
                <w:lang w:val="en-GB" w:eastAsia="en-GB"/>
              </w:rPr>
            </w:r>
          </w:p>
        </w:tc>
        <w:tc>
          <w:tcPr>
            <w:tcW w:w="42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c>
          <w:tcPr>
            <w:tcW w:w="426" w:type="dxa"/>
            <w:tcBorders>
              <w:top w:val="single" w:sz="4" w:space="0" w:color="000000"/>
              <w:left w:val="single" w:sz="4" w:space="0" w:color="000000"/>
              <w:bottom w:val="single" w:sz="4" w:space="0" w:color="000000"/>
            </w:tcBorders>
            <w:shd w:fill="auto" w:val="clear"/>
          </w:tcPr>
          <w:p>
            <w:pPr>
              <w:pStyle w:val="Normal"/>
              <w:snapToGrid w:val="false"/>
              <w:spacing w:lineRule="auto" w:line="360" w:before="0" w:after="240"/>
              <w:rPr>
                <w:rFonts w:eastAsia="Arial" w:cs="Arial"/>
                <w:b/>
                <w:b/>
                <w:color w:val="4F5252"/>
                <w:lang w:val="en-GB" w:eastAsia="en-GB"/>
              </w:rPr>
            </w:pPr>
            <w:r>
              <w:rPr>
                <w:rFonts w:eastAsia="Arial" w:cs="Arial"/>
                <w:b/>
                <w:color w:val="4F5252"/>
                <w:lang w:val="en-GB" w:eastAsia="en-GB"/>
              </w:rPr>
            </w:r>
          </w:p>
        </w:tc>
        <w:tc>
          <w:tcPr>
            <w:tcW w:w="5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r>
      <w:tr>
        <w:trPr/>
        <w:tc>
          <w:tcPr>
            <w:tcW w:w="169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eastAsia="Arial" w:cs="Arial"/>
                <w:b/>
                <w:b/>
                <w:color w:val="4F5252"/>
                <w:lang w:val="en-GB" w:eastAsia="en-GB"/>
              </w:rPr>
            </w:pPr>
            <w:r>
              <w:rPr>
                <w:rFonts w:eastAsia="Arial" w:cs="Arial"/>
                <w:b/>
                <w:color w:val="4F5252"/>
                <w:lang w:val="en-GB" w:eastAsia="en-GB"/>
              </w:rPr>
              <w:t>Teaching and Learning</w:t>
            </w:r>
          </w:p>
        </w:tc>
        <w:tc>
          <w:tcPr>
            <w:tcW w:w="3829"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 xml:space="preserve">A passion for working with young children </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Practical understanding of effective teaching and evaluation strategies for pupils with SEN</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 xml:space="preserve">Recent experience of teaching in KS3 and KS4 </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Able to adapt learning objectives to meet the needs of all levels of ability in the class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Proactive in solving problems-being solution-focused during lessons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Creative in approach to planning and delivering lessons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 xml:space="preserve">Able to manage pupil behaviour effectively </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Able to use ICT to advance pupils’ learning, and use common ICT tools for their own and pupils’ benefit.</w:t>
            </w:r>
          </w:p>
        </w:tc>
        <w:tc>
          <w:tcPr>
            <w:tcW w:w="2835"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Successful and sustained teaching experience across relevant key stages</w:t>
            </w:r>
          </w:p>
          <w:p>
            <w:pPr>
              <w:pStyle w:val="Normal"/>
              <w:spacing w:lineRule="auto" w:line="360" w:before="0" w:after="240"/>
              <w:rPr>
                <w:rFonts w:eastAsia="Arial" w:cs="Arial"/>
                <w:bCs w:val="false"/>
                <w:color w:val="4F5252"/>
                <w:lang w:val="en-GB" w:eastAsia="en-GB"/>
              </w:rPr>
            </w:pPr>
            <w:r>
              <w:rPr>
                <w:rFonts w:eastAsia="Arial" w:cs="Arial"/>
                <w:bCs w:val="false"/>
                <w:color w:val="4F5252"/>
                <w:lang w:val="en-GB" w:eastAsia="en-GB"/>
              </w:rPr>
            </w:r>
          </w:p>
        </w:tc>
        <w:tc>
          <w:tcPr>
            <w:tcW w:w="42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c>
          <w:tcPr>
            <w:tcW w:w="426"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c>
          <w:tcPr>
            <w:tcW w:w="5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r>
      <w:tr>
        <w:trPr/>
        <w:tc>
          <w:tcPr>
            <w:tcW w:w="169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eastAsia="Arial" w:cs="Arial"/>
                <w:b/>
                <w:b/>
                <w:color w:val="4F5252"/>
                <w:lang w:val="en-GB" w:eastAsia="en-GB"/>
              </w:rPr>
            </w:pPr>
            <w:r>
              <w:rPr>
                <w:rFonts w:eastAsia="Arial" w:cs="Arial"/>
                <w:b/>
                <w:color w:val="4F5252"/>
                <w:lang w:val="en-GB" w:eastAsia="en-GB"/>
              </w:rPr>
              <w:t>Leadership and Management</w:t>
            </w:r>
          </w:p>
        </w:tc>
        <w:tc>
          <w:tcPr>
            <w:tcW w:w="3829"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 xml:space="preserve">Able to manage a class effectively </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Have experience in deploying TAs to accelerate pupils' progress in all areas</w:t>
            </w:r>
          </w:p>
          <w:p>
            <w:pPr>
              <w:pStyle w:val="Normal"/>
              <w:numPr>
                <w:ilvl w:val="0"/>
                <w:numId w:val="2"/>
              </w:numPr>
              <w:spacing w:lineRule="auto" w:line="360" w:before="0" w:after="240"/>
              <w:contextualSpacing/>
              <w:rPr/>
            </w:pPr>
            <w:r>
              <w:rPr>
                <w:rFonts w:eastAsia="Arial" w:cs="Arial"/>
                <w:bCs w:val="false"/>
                <w:color w:val="4F5252"/>
                <w:lang w:val="en-GB" w:eastAsia="en-GB"/>
              </w:rPr>
              <w:t>Able to motivate pupils and staff, setting high</w:t>
            </w:r>
            <w:r>
              <w:rPr>
                <w:rFonts w:eastAsia="Arial" w:cs="Arial"/>
                <w:bCs w:val="false"/>
                <w:color w:val="4F5252"/>
              </w:rPr>
              <w:t xml:space="preserve"> </w:t>
            </w:r>
            <w:r>
              <w:rPr>
                <w:rFonts w:eastAsia="Arial" w:cs="Arial"/>
                <w:bCs w:val="false"/>
                <w:color w:val="4F5252"/>
                <w:lang w:val="en-GB" w:eastAsia="en-GB"/>
              </w:rPr>
              <w:t>standards and providing a focus for improvement</w:t>
            </w:r>
          </w:p>
        </w:tc>
        <w:tc>
          <w:tcPr>
            <w:tcW w:w="2835"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Hold aspirations for future career development</w:t>
            </w:r>
          </w:p>
        </w:tc>
        <w:tc>
          <w:tcPr>
            <w:tcW w:w="42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c>
          <w:tcPr>
            <w:tcW w:w="426"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c>
          <w:tcPr>
            <w:tcW w:w="5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r>
      <w:tr>
        <w:trPr/>
        <w:tc>
          <w:tcPr>
            <w:tcW w:w="169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eastAsia="Arial" w:cs="Arial"/>
                <w:b/>
                <w:b/>
                <w:color w:val="4F5252"/>
                <w:lang w:val="en-GB" w:eastAsia="en-GB"/>
              </w:rPr>
            </w:pPr>
            <w:r>
              <w:rPr>
                <w:rFonts w:eastAsia="Arial" w:cs="Arial"/>
                <w:b/>
                <w:color w:val="4F5252"/>
                <w:lang w:val="en-GB" w:eastAsia="en-GB"/>
              </w:rPr>
              <w:t>Personal Qualities</w:t>
            </w:r>
          </w:p>
        </w:tc>
        <w:tc>
          <w:tcPr>
            <w:tcW w:w="3829"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Hold high levels of emotional intelligence</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Able to establish and develop good relationships with all those involved in the school</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Able to work effectively as a team member</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Ability to communicate effectively in writing and orally</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Flexible and approachable</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Resilient under pressure</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Able to deal sensitively with people and resolve conflicts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 xml:space="preserve">High levels of energy and enthusiasm </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 good sense of humour and ability to find solutions in challenging circumstances</w:t>
            </w:r>
          </w:p>
        </w:tc>
        <w:tc>
          <w:tcPr>
            <w:tcW w:w="2835"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Bring personal interests and enthusiasms to the school community</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 xml:space="preserve">Ambitious </w:t>
            </w:r>
          </w:p>
        </w:tc>
        <w:tc>
          <w:tcPr>
            <w:tcW w:w="42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c>
          <w:tcPr>
            <w:tcW w:w="426"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c>
          <w:tcPr>
            <w:tcW w:w="5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r>
    </w:tbl>
    <w:p>
      <w:pPr>
        <w:pStyle w:val="Normal"/>
        <w:numPr>
          <w:ilvl w:val="0"/>
          <w:numId w:val="0"/>
        </w:numPr>
        <w:spacing w:lineRule="auto" w:line="240"/>
        <w:ind w:left="0" w:hanging="0"/>
        <w:rPr>
          <w:u w:val="single"/>
          <w:lang w:val="en-GB" w:eastAsia="en-GB"/>
        </w:rPr>
      </w:pPr>
      <w:r>
        <w:rPr>
          <w:u w:val="single"/>
          <w:lang w:val="en-GB" w:eastAsia="en-GB"/>
        </w:rPr>
      </w:r>
    </w:p>
    <w:p>
      <w:pPr>
        <w:pStyle w:val="Normal"/>
        <w:numPr>
          <w:ilvl w:val="0"/>
          <w:numId w:val="0"/>
        </w:numPr>
        <w:spacing w:lineRule="auto" w:line="240"/>
        <w:ind w:left="0" w:hanging="0"/>
        <w:jc w:val="center"/>
        <w:rPr/>
      </w:pPr>
      <w:r>
        <w:rPr/>
        <w:t>This job description may be amended to reflect the evolving needs of the school and Trust.</w:t>
      </w:r>
    </w:p>
    <w:p>
      <w:pPr>
        <w:pStyle w:val="Normal"/>
        <w:numPr>
          <w:ilvl w:val="0"/>
          <w:numId w:val="0"/>
        </w:numPr>
        <w:spacing w:lineRule="auto" w:line="240"/>
        <w:ind w:left="0" w:hanging="0"/>
        <w:rPr>
          <w:u w:val="single"/>
          <w:lang w:val="en-GB" w:eastAsia="en-GB"/>
        </w:rPr>
      </w:pPr>
      <w:r>
        <w:rPr>
          <w:u w:val="single"/>
          <w:lang w:val="en-GB" w:eastAsia="en-GB"/>
        </w:rPr>
      </w:r>
    </w:p>
    <w:p>
      <w:pPr>
        <w:pStyle w:val="Normal"/>
        <w:numPr>
          <w:ilvl w:val="0"/>
          <w:numId w:val="0"/>
        </w:numPr>
        <w:spacing w:lineRule="auto" w:line="240"/>
        <w:ind w:left="0" w:hanging="0"/>
        <w:rPr>
          <w:u w:val="single"/>
          <w:lang w:val="en-GB" w:eastAsia="en-GB"/>
        </w:rPr>
      </w:pPr>
      <w:r>
        <w:rPr>
          <w:u w:val="single"/>
          <w:lang w:val="en-GB" w:eastAsia="en-GB"/>
        </w:rPr>
      </w:r>
    </w:p>
    <w:p>
      <w:pPr>
        <w:pStyle w:val="Normal"/>
        <w:numPr>
          <w:ilvl w:val="0"/>
          <w:numId w:val="0"/>
        </w:numPr>
        <w:spacing w:lineRule="auto" w:line="240"/>
        <w:ind w:left="0" w:hanging="0"/>
        <w:rPr>
          <w:u w:val="single"/>
          <w:lang w:val="en-GB" w:eastAsia="en-GB"/>
        </w:rPr>
      </w:pPr>
      <w:r>
        <w:rPr>
          <w:u w:val="single"/>
          <w:lang w:val="en-GB" w:eastAsia="en-GB"/>
        </w:rPr>
      </w:r>
    </w:p>
    <w:p>
      <w:pPr>
        <w:pStyle w:val="Normal"/>
        <w:numPr>
          <w:ilvl w:val="0"/>
          <w:numId w:val="0"/>
        </w:numPr>
        <w:spacing w:lineRule="auto" w:line="240"/>
        <w:ind w:left="0" w:hanging="0"/>
        <w:rPr>
          <w:u w:val="single"/>
          <w:lang w:val="en-GB" w:eastAsia="en-GB"/>
        </w:rPr>
      </w:pPr>
      <w:r>
        <w:rPr>
          <w:u w:val="single"/>
          <w:lang w:val="en-GB" w:eastAsia="en-GB"/>
        </w:rPr>
      </w:r>
    </w:p>
    <w:p>
      <w:pPr>
        <w:pStyle w:val="Normal"/>
        <w:numPr>
          <w:ilvl w:val="0"/>
          <w:numId w:val="0"/>
        </w:numPr>
        <w:spacing w:lineRule="auto" w:line="240"/>
        <w:ind w:left="0" w:hanging="0"/>
        <w:rPr>
          <w:u w:val="single"/>
          <w:lang w:val="en-GB" w:eastAsia="en-GB"/>
        </w:rPr>
      </w:pPr>
      <w:r>
        <w:rPr>
          <w:u w:val="single"/>
          <w:lang w:val="en-GB" w:eastAsia="en-GB"/>
        </w:rPr>
      </w:r>
    </w:p>
    <w:p>
      <w:pPr>
        <w:pStyle w:val="Normal"/>
        <w:numPr>
          <w:ilvl w:val="0"/>
          <w:numId w:val="0"/>
        </w:numPr>
        <w:spacing w:lineRule="auto" w:line="240" w:before="240" w:after="240"/>
        <w:ind w:left="0" w:hanging="0"/>
        <w:jc w:val="center"/>
        <w:rPr>
          <w:rFonts w:ascii="Century Gothic" w:hAnsi="Century Gothic" w:eastAsia="Calibri" w:cs="Century Gothic"/>
          <w:b/>
          <w:b/>
          <w:color w:val="13A64C"/>
          <w:sz w:val="28"/>
          <w:szCs w:val="28"/>
          <w:lang w:val="en-GB" w:eastAsia="en-GB"/>
        </w:rPr>
      </w:pPr>
      <w:r>
        <w:rPr>
          <w:rFonts w:eastAsia="Calibri" w:cs="Century Gothic" w:ascii="Century Gothic" w:hAnsi="Century Gothic"/>
          <w:b/>
          <w:color w:val="13A64C"/>
          <w:sz w:val="28"/>
          <w:szCs w:val="28"/>
          <w:lang w:val="en-GB" w:eastAsia="en-GB"/>
        </w:rPr>
        <w:t>Are we the right opportunity for you?</w:t>
      </w:r>
    </w:p>
    <w:p>
      <w:pPr>
        <w:pStyle w:val="Normal"/>
        <w:rPr/>
      </w:pPr>
      <w:r>
        <w:rPr/>
        <w:t>If you wish to be considered for this vacancy, you should complete the attached application form. Please note that only applications submitted directly to HR via the application form will be considered. Candidates who submit a CV will not be short-listed. Completed applications demonstrating your ability to meet the requirements for the role are to be returned to hr@thesovereigntrust.uk by 9 am on the deadline day.</w:t>
      </w:r>
    </w:p>
    <w:tbl>
      <w:tblPr>
        <w:tblW w:w="9715" w:type="dxa"/>
        <w:jc w:val="left"/>
        <w:tblInd w:w="0" w:type="dxa"/>
        <w:tblCellMar>
          <w:top w:w="0" w:type="dxa"/>
          <w:left w:w="108" w:type="dxa"/>
          <w:bottom w:w="0" w:type="dxa"/>
          <w:right w:w="108" w:type="dxa"/>
        </w:tblCellMar>
      </w:tblPr>
      <w:tblGrid>
        <w:gridCol w:w="4853"/>
        <w:gridCol w:w="4862"/>
      </w:tblGrid>
      <w:tr>
        <w:trPr/>
        <w:tc>
          <w:tcPr>
            <w:tcW w:w="4853" w:type="dxa"/>
            <w:tcBorders>
              <w:top w:val="single" w:sz="4" w:space="0" w:color="000000"/>
              <w:left w:val="single" w:sz="4" w:space="0" w:color="000000"/>
              <w:bottom w:val="single" w:sz="4" w:space="0" w:color="000000"/>
            </w:tcBorders>
            <w:shd w:fill="auto" w:val="clear"/>
          </w:tcPr>
          <w:p>
            <w:pPr>
              <w:pStyle w:val="Normal"/>
              <w:numPr>
                <w:ilvl w:val="0"/>
                <w:numId w:val="0"/>
              </w:numPr>
              <w:spacing w:lineRule="auto" w:line="240" w:before="0" w:after="240"/>
              <w:ind w:left="0" w:hanging="0"/>
              <w:rPr>
                <w:rFonts w:ascii="Century Gothic" w:hAnsi="Century Gothic" w:eastAsia="Arial" w:cs="Century Gothic"/>
                <w:color w:val="0C9DD9"/>
                <w:lang w:val="en-GB" w:eastAsia="en-GB"/>
              </w:rPr>
            </w:pPr>
            <w:r>
              <w:rPr>
                <w:rFonts w:eastAsia="Arial" w:cs="Century Gothic" w:ascii="Century Gothic" w:hAnsi="Century Gothic"/>
                <w:color w:val="0C9DD9"/>
                <w:lang w:val="en-GB" w:eastAsia="en-GB"/>
              </w:rPr>
              <w:t>Closing date for receipt of applications:</w:t>
            </w:r>
          </w:p>
        </w:tc>
        <w:tc>
          <w:tcPr>
            <w:tcW w:w="48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before="0" w:after="240"/>
              <w:rPr/>
            </w:pPr>
            <w:r>
              <w:rPr>
                <w:rFonts w:eastAsia="Arial" w:cs="Arial"/>
                <w:color w:val="4F5252"/>
              </w:rPr>
              <w:t>Friday 19</w:t>
            </w:r>
            <w:r>
              <w:rPr>
                <w:rFonts w:eastAsia="Arial" w:cs="Arial"/>
                <w:color w:val="4F5252"/>
                <w:vertAlign w:val="superscript"/>
              </w:rPr>
              <w:t>th</w:t>
            </w:r>
            <w:r>
              <w:rPr>
                <w:rFonts w:eastAsia="Arial" w:cs="Arial"/>
                <w:color w:val="4F5252"/>
              </w:rPr>
              <w:t xml:space="preserve"> June 2026</w:t>
            </w:r>
          </w:p>
        </w:tc>
      </w:tr>
      <w:tr>
        <w:trPr/>
        <w:tc>
          <w:tcPr>
            <w:tcW w:w="4853" w:type="dxa"/>
            <w:tcBorders>
              <w:top w:val="single" w:sz="4" w:space="0" w:color="000000"/>
              <w:left w:val="single" w:sz="4" w:space="0" w:color="000000"/>
              <w:bottom w:val="single" w:sz="4" w:space="0" w:color="000000"/>
            </w:tcBorders>
            <w:shd w:fill="auto" w:val="clear"/>
          </w:tcPr>
          <w:p>
            <w:pPr>
              <w:pStyle w:val="Normal"/>
              <w:numPr>
                <w:ilvl w:val="0"/>
                <w:numId w:val="0"/>
              </w:numPr>
              <w:spacing w:lineRule="auto" w:line="240" w:before="0" w:after="240"/>
              <w:ind w:left="0" w:hanging="0"/>
              <w:rPr>
                <w:rFonts w:ascii="Century Gothic" w:hAnsi="Century Gothic" w:eastAsia="Arial" w:cs="Century Gothic"/>
                <w:color w:val="0C9DD9"/>
                <w:lang w:val="en-GB" w:eastAsia="en-GB"/>
              </w:rPr>
            </w:pPr>
            <w:r>
              <w:rPr>
                <w:rFonts w:eastAsia="Arial" w:cs="Century Gothic" w:ascii="Century Gothic" w:hAnsi="Century Gothic"/>
                <w:color w:val="0C9DD9"/>
                <w:lang w:val="en-GB" w:eastAsia="en-GB"/>
              </w:rPr>
              <w:t xml:space="preserve">Shortlisting: </w:t>
            </w:r>
          </w:p>
        </w:tc>
        <w:tc>
          <w:tcPr>
            <w:tcW w:w="48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before="0" w:after="240"/>
              <w:rPr/>
            </w:pPr>
            <w:r>
              <w:rPr>
                <w:rFonts w:eastAsia="Arial" w:cs="Arial"/>
                <w:color w:val="4F5252"/>
                <w:lang w:val="en-GB" w:eastAsia="en-GB"/>
              </w:rPr>
              <w:t>Friday 19</w:t>
            </w:r>
            <w:r>
              <w:rPr>
                <w:rFonts w:eastAsia="Arial" w:cs="Arial"/>
                <w:color w:val="4F5252"/>
                <w:vertAlign w:val="superscript"/>
                <w:lang w:val="en-GB" w:eastAsia="en-GB"/>
              </w:rPr>
              <w:t>th</w:t>
            </w:r>
            <w:r>
              <w:rPr>
                <w:rFonts w:eastAsia="Arial" w:cs="Arial"/>
                <w:color w:val="4F5252"/>
                <w:lang w:val="en-GB" w:eastAsia="en-GB"/>
              </w:rPr>
              <w:t xml:space="preserve"> June 2026</w:t>
            </w:r>
          </w:p>
        </w:tc>
      </w:tr>
      <w:tr>
        <w:trPr/>
        <w:tc>
          <w:tcPr>
            <w:tcW w:w="4853" w:type="dxa"/>
            <w:tcBorders>
              <w:top w:val="single" w:sz="4" w:space="0" w:color="000000"/>
              <w:left w:val="single" w:sz="4" w:space="0" w:color="000000"/>
              <w:bottom w:val="single" w:sz="4" w:space="0" w:color="000000"/>
            </w:tcBorders>
            <w:shd w:fill="auto" w:val="clear"/>
          </w:tcPr>
          <w:p>
            <w:pPr>
              <w:pStyle w:val="Normal"/>
              <w:numPr>
                <w:ilvl w:val="0"/>
                <w:numId w:val="0"/>
              </w:numPr>
              <w:spacing w:lineRule="auto" w:line="240" w:before="0" w:after="240"/>
              <w:ind w:left="0" w:hanging="0"/>
              <w:rPr>
                <w:rFonts w:ascii="Century Gothic" w:hAnsi="Century Gothic" w:eastAsia="Arial" w:cs="Century Gothic"/>
                <w:color w:val="0C9DD9"/>
                <w:lang w:val="en-GB" w:eastAsia="en-GB"/>
              </w:rPr>
            </w:pPr>
            <w:r>
              <w:rPr>
                <w:rFonts w:eastAsia="Arial" w:cs="Century Gothic" w:ascii="Century Gothic" w:hAnsi="Century Gothic"/>
                <w:color w:val="0C9DD9"/>
                <w:lang w:val="en-GB" w:eastAsia="en-GB"/>
              </w:rPr>
              <w:t>Interviews for successful candidates will be held at Manor Academy:</w:t>
            </w:r>
          </w:p>
        </w:tc>
        <w:tc>
          <w:tcPr>
            <w:tcW w:w="48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before="0" w:after="240"/>
              <w:rPr/>
            </w:pPr>
            <w:r>
              <w:rPr>
                <w:rFonts w:eastAsia="Arial" w:cs="Arial"/>
                <w:color w:val="4F5252"/>
                <w:lang w:val="en-GB" w:eastAsia="en-GB"/>
              </w:rPr>
              <w:t>W/C 22</w:t>
            </w:r>
            <w:r>
              <w:rPr>
                <w:rFonts w:eastAsia="Arial" w:cs="Arial"/>
                <w:color w:val="4F5252"/>
                <w:vertAlign w:val="superscript"/>
                <w:lang w:val="en-GB" w:eastAsia="en-GB"/>
              </w:rPr>
              <w:t>nd</w:t>
            </w:r>
            <w:r>
              <w:rPr>
                <w:rFonts w:eastAsia="Arial" w:cs="Arial"/>
                <w:color w:val="4F5252"/>
                <w:lang w:val="en-GB" w:eastAsia="en-GB"/>
              </w:rPr>
              <w:t xml:space="preserve"> June 2026</w:t>
            </w:r>
          </w:p>
        </w:tc>
      </w:tr>
    </w:tbl>
    <w:p>
      <w:pPr>
        <w:pStyle w:val="Normal"/>
        <w:rPr>
          <w:lang w:val="en-GB" w:eastAsia="en-GB"/>
        </w:rPr>
      </w:pPr>
      <w:r>
        <w:rPr>
          <w:lang w:val="en-GB" w:eastAsia="en-GB"/>
        </w:rPr>
      </w:r>
    </w:p>
    <w:p>
      <w:pPr>
        <w:pStyle w:val="Heading2"/>
        <w:jc w:val="center"/>
        <w:rPr/>
      </w:pPr>
      <w:r>
        <w:rPr/>
        <w:t>Keeping Children Safe in Education</w:t>
      </w:r>
    </w:p>
    <w:p>
      <w:pPr>
        <w:pStyle w:val="Normal"/>
        <w:jc w:val="both"/>
        <w:rPr/>
      </w:pPr>
      <w:bookmarkStart w:id="0" w:name="_Hlk139980245"/>
      <w:r>
        <w:rPr>
          <w:b/>
          <w:lang w:val="en-GB" w:eastAsia="en-GB"/>
        </w:rPr>
        <w:t>The Sovereign Trust is committed to safeguarding and promoting the welfare of its pupils and expects all those working for the Trust to share this commitment</w:t>
      </w:r>
      <w:bookmarkEnd w:id="0"/>
      <w:r>
        <w:rPr>
          <w:b/>
          <w:lang w:val="en-GB" w:eastAsia="en-GB"/>
        </w:rPr>
        <w:t xml:space="preserve">. </w:t>
      </w:r>
    </w:p>
    <w:p>
      <w:pPr>
        <w:pStyle w:val="Normal"/>
        <w:jc w:val="both"/>
        <w:rPr>
          <w:b/>
          <w:b/>
          <w:lang w:val="en-GB" w:eastAsia="en-GB"/>
        </w:rPr>
      </w:pPr>
      <w:r>
        <w:rPr>
          <w:b/>
          <w:lang w:val="en-GB" w:eastAsia="en-GB"/>
        </w:rPr>
        <w:t>An online search will be carried out, and a Childcare Declaration form will be required from shortlisted candidates.</w:t>
      </w:r>
    </w:p>
    <w:p>
      <w:pPr>
        <w:pStyle w:val="Normal"/>
        <w:jc w:val="both"/>
        <w:rPr>
          <w:b/>
          <w:b/>
          <w:lang w:val="en-GB" w:eastAsia="en-GB"/>
        </w:rPr>
      </w:pPr>
      <w:r>
        <w:rPr>
          <w:b/>
          <w:lang w:val="en-GB" w:eastAsia="en-GB"/>
        </w:rPr>
        <w:t xml:space="preserve">This post is subject to a satisfactory two-year reference history, which we will endeavour to seek before interview, Disclosure &amp; Barring Service (DBS) check (previously CRB), medical clearance, and proof of legal working in accordance with the Asylum and Immigration Act 1996. </w:t>
      </w:r>
    </w:p>
    <w:p>
      <w:pPr>
        <w:pStyle w:val="Normal"/>
        <w:jc w:val="both"/>
        <w:rPr/>
      </w:pPr>
      <w:r>
        <w:rPr>
          <w:b/>
          <w:lang w:val="en-GB" w:eastAsia="en-GB"/>
        </w:rPr>
        <w:t xml:space="preserve">A copy of our Safeguarding and Child Protection Policy can be found on our website by following this link </w:t>
      </w:r>
      <w:r>
        <w:rPr>
          <w:b/>
          <w:color w:val="0C9DD9"/>
          <w:u w:val="single"/>
          <w:lang w:val="en-GB" w:eastAsia="en-GB"/>
        </w:rPr>
        <w:t>https://www.thesovereigntrust.uk/policies-1/</w:t>
      </w:r>
      <w:r>
        <w:rPr>
          <w:b/>
          <w:lang w:val="en-GB" w:eastAsia="en-GB"/>
        </w:rPr>
        <w:t xml:space="preserve"> .</w:t>
      </w:r>
    </w:p>
    <w:p>
      <w:pPr>
        <w:pStyle w:val="Heading2"/>
        <w:rPr/>
      </w:pPr>
      <w:r>
        <w:rPr/>
      </w:r>
    </w:p>
    <w:p>
      <w:pPr>
        <w:pStyle w:val="Normal"/>
        <w:tabs>
          <w:tab w:val="clear" w:pos="720"/>
          <w:tab w:val="left" w:pos="5415" w:leader="none"/>
        </w:tabs>
        <w:spacing w:before="0" w:after="240"/>
        <w:rPr>
          <w:vanish/>
        </w:rPr>
      </w:pPr>
      <w:r>
        <w:rPr/>
        <w:tab/>
      </w:r>
      <w:bookmarkStart w:id="1" w:name="_PictureBullets"/>
      <w:bookmarkEnd w:id="1"/>
    </w:p>
    <w:sectPr>
      <w:headerReference w:type="default" r:id="rId2"/>
      <w:headerReference w:type="first" r:id="rId3"/>
      <w:footerReference w:type="default" r:id="rId4"/>
      <w:footerReference w:type="first" r:id="rId5"/>
      <w:type w:val="nextPage"/>
      <w:pgSz w:w="11906" w:h="16838"/>
      <w:pgMar w:left="1163" w:right="1021" w:header="720" w:top="1497" w:footer="217" w:bottom="1094" w:gutter="0"/>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imes">
    <w:altName w:val="Times New Roman"/>
    <w:charset w:val="00"/>
    <w:family w:val="roman"/>
    <w:pitch w:val="variable"/>
  </w:font>
  <w:font w:name="Wing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6</w:t>
    </w:r>
    <w:r>
      <w:rPr/>
      <w:fldChar w:fldCharType="end"/>
    </w:r>
  </w:p>
  <w:p>
    <w:pPr>
      <w:pStyle w:val="BasicParagraph"/>
      <w:spacing w:lineRule="auto" w:line="360"/>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color w:val="4F5252"/>
        <w:spacing w:val="-1"/>
        <w:sz w:val="15"/>
        <w:szCs w:val="15"/>
      </w:rPr>
    </w:pPr>
    <w:r>
      <w:rPr/>
      <w:fldChar w:fldCharType="begin"/>
    </w:r>
    <w:r>
      <w:rPr/>
      <w:instrText> PAGE </w:instrText>
    </w:r>
    <w:r>
      <w:rPr/>
      <w:fldChar w:fldCharType="separate"/>
    </w:r>
    <w:r>
      <w:rPr/>
      <w:t>1</w:t>
    </w:r>
    <w:r>
      <w:rPr/>
      <w:fldChar w:fldCharType="end"/>
    </w:r>
  </w:p>
  <w:p>
    <w:pPr>
      <w:pStyle w:val="BasicParagraph"/>
      <w:spacing w:before="0" w:after="113"/>
      <w:jc w:val="right"/>
      <w:rPr>
        <w:rFonts w:ascii="Arial" w:hAnsi="Arial" w:cs="Arial"/>
        <w:color w:val="4F5252"/>
        <w:spacing w:val="-1"/>
        <w:sz w:val="15"/>
        <w:szCs w:val="15"/>
      </w:rPr>
    </w:pPr>
    <w:r>
      <w:rPr>
        <w:rFonts w:cs="Arial" w:ascii="Arial" w:hAnsi="Arial"/>
        <w:color w:val="4F5252"/>
        <w:spacing w:val="-1"/>
        <w:sz w:val="15"/>
        <w:szCs w:val="15"/>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360" w:before="0" w:after="240"/>
      <w:jc w:val="left"/>
      <w:rPr/>
    </w:pPr>
    <w:r>
      <w:rPr/>
      <w:drawing>
        <wp:anchor behindDoc="1" distT="0" distB="0" distL="0" distR="0" simplePos="0" locked="0" layoutInCell="1" allowOverlap="1" relativeHeight="2">
          <wp:simplePos x="0" y="0"/>
          <wp:positionH relativeFrom="column">
            <wp:posOffset>4279265</wp:posOffset>
          </wp:positionH>
          <wp:positionV relativeFrom="paragraph">
            <wp:posOffset>15875</wp:posOffset>
          </wp:positionV>
          <wp:extent cx="2082800" cy="106553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6" t="-12" r="-6" b="-12"/>
                  <a:stretch>
                    <a:fillRect/>
                  </a:stretch>
                </pic:blipFill>
                <pic:spPr bwMode="auto">
                  <a:xfrm>
                    <a:off x="0" y="0"/>
                    <a:ext cx="2082800" cy="106553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b w:val="false"/>
        <w:rFonts w:cs="Symbol"/>
        <w:color w:val="1E9CD8"/>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0"/>
        <w:b w:val="false"/>
        <w:rFonts w:cs="Symbol"/>
        <w:color w:val="1E9CD8"/>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0"/>
        <w:b w:val="false"/>
        <w:rFonts w:cs="Symbol"/>
        <w:color w:val="1E9CD8"/>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sz w:val="20"/>
        <w:b w:val="false"/>
        <w:rFonts w:cs="Symbol"/>
        <w:color w:val="1E9CD8"/>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6">
    <w:lvl w:ilvl="0">
      <w:start w:val="1"/>
      <w:numFmt w:val="bullet"/>
      <w:lvlText w:val=""/>
      <w:lvlJc w:val="left"/>
      <w:pPr>
        <w:tabs>
          <w:tab w:val="num" w:pos="720"/>
        </w:tabs>
        <w:ind w:left="720" w:hanging="360"/>
      </w:pPr>
      <w:rPr>
        <w:rFonts w:ascii="Symbol" w:hAnsi="Symbol" w:cs="Symbol" w:hint="default"/>
        <w:sz w:val="20"/>
        <w:b w:val="false"/>
        <w:rFonts w:cs="Symbol"/>
        <w:color w:val="1E9CD8"/>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7">
    <w:lvl w:ilvl="0">
      <w:start w:val="1"/>
      <w:numFmt w:val="bullet"/>
      <w:lvlText w:val=""/>
      <w:lvlJc w:val="left"/>
      <w:pPr>
        <w:tabs>
          <w:tab w:val="num" w:pos="720"/>
        </w:tabs>
        <w:ind w:left="720" w:hanging="360"/>
      </w:pPr>
      <w:rPr>
        <w:rFonts w:ascii="Symbol" w:hAnsi="Symbol" w:cs="Symbol" w:hint="default"/>
        <w:sz w:val="20"/>
        <w:b w:val="false"/>
        <w:rFonts w:cs="Symbol"/>
        <w:color w:val="1E9CD8"/>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8">
    <w:lvl w:ilvl="0">
      <w:start w:val="1"/>
      <w:numFmt w:val="bullet"/>
      <w:lvlText w:val=""/>
      <w:lvlJc w:val="left"/>
      <w:pPr>
        <w:tabs>
          <w:tab w:val="num" w:pos="720"/>
        </w:tabs>
        <w:ind w:left="720" w:hanging="360"/>
      </w:pPr>
      <w:rPr>
        <w:rFonts w:ascii="Symbol" w:hAnsi="Symbol" w:cs="Symbol" w:hint="default"/>
        <w:sz w:val="20"/>
        <w:b w:val="false"/>
        <w:rFonts w:cs="Symbol"/>
        <w:color w:val="1E9CD8"/>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360" w:before="0" w:after="240"/>
      <w:jc w:val="left"/>
    </w:pPr>
    <w:rPr>
      <w:rFonts w:ascii="Arial" w:hAnsi="Arial" w:eastAsia="Times New Roman" w:cs="Arial"/>
      <w:bCs/>
      <w:color w:val="4F5252"/>
      <w:kern w:val="0"/>
      <w:sz w:val="20"/>
      <w:szCs w:val="20"/>
      <w:lang w:val="en-US" w:eastAsia="en-US" w:bidi="ar-SA"/>
    </w:rPr>
  </w:style>
  <w:style w:type="paragraph" w:styleId="Heading1">
    <w:name w:val="Heading 1"/>
    <w:basedOn w:val="Normal"/>
    <w:next w:val="Normal"/>
    <w:qFormat/>
    <w:pPr>
      <w:numPr>
        <w:ilvl w:val="0"/>
        <w:numId w:val="1"/>
      </w:numPr>
      <w:spacing w:lineRule="auto" w:line="240" w:before="240" w:after="240"/>
      <w:outlineLvl w:val="0"/>
    </w:pPr>
    <w:rPr>
      <w:rFonts w:ascii="Century Gothic" w:hAnsi="Century Gothic" w:cs="Times New Roman"/>
      <w:b/>
      <w:color w:val="13A64C"/>
      <w:sz w:val="28"/>
      <w:szCs w:val="28"/>
      <w:lang w:val="en-GB" w:eastAsia="en-GB"/>
    </w:rPr>
  </w:style>
  <w:style w:type="paragraph" w:styleId="Heading2">
    <w:name w:val="Heading 2"/>
    <w:basedOn w:val="Normal"/>
    <w:next w:val="Normal"/>
    <w:qFormat/>
    <w:pPr>
      <w:numPr>
        <w:ilvl w:val="1"/>
        <w:numId w:val="1"/>
      </w:numPr>
      <w:spacing w:lineRule="auto" w:line="240"/>
      <w:outlineLvl w:val="1"/>
    </w:pPr>
    <w:rPr>
      <w:rFonts w:ascii="Century Gothic" w:hAnsi="Century Gothic" w:cs="Times New Roman"/>
      <w:b/>
      <w:color w:val="0C9DD9"/>
      <w:sz w:val="22"/>
      <w:lang w:val="en-GB" w:eastAsia="en-GB"/>
    </w:rPr>
  </w:style>
  <w:style w:type="paragraph" w:styleId="Heading3">
    <w:name w:val="Heading 3"/>
    <w:basedOn w:val="ReferenceIntroLineCenturyGothic"/>
    <w:next w:val="Normal"/>
    <w:qFormat/>
    <w:pPr>
      <w:numPr>
        <w:ilvl w:val="2"/>
        <w:numId w:val="1"/>
      </w:numPr>
      <w:outlineLvl w:val="2"/>
    </w:pPr>
    <w:rPr>
      <w:color w:val="D11317"/>
    </w:rPr>
  </w:style>
  <w:style w:type="character" w:styleId="WW8Num1z0">
    <w:name w:val="WW8Num1z0"/>
    <w:qFormat/>
    <w:rPr>
      <w:rFonts w:ascii="Symbol" w:hAnsi="Symbol" w:cs="Symbol"/>
      <w:b w:val="false"/>
      <w:color w:val="1E9CD8"/>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b w:val="false"/>
      <w:color w:val="1E9CD8"/>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b w:val="false"/>
      <w:color w:val="1E9CD8"/>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b w:val="false"/>
      <w:color w:val="1E9CD8"/>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b w:val="false"/>
      <w:color w:val="1E9CD8"/>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b w:val="false"/>
      <w:color w:val="1E9CD8"/>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b w:val="false"/>
      <w:color w:val="1E9CD8"/>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DefaultParagraphFont">
    <w:name w:val="Default Paragraph Font"/>
    <w:qFormat/>
    <w:rPr/>
  </w:style>
  <w:style w:type="character" w:styleId="BalloonTextChar">
    <w:name w:val="Balloon Text Char"/>
    <w:basedOn w:val="DefaultParagraphFont"/>
    <w:qFormat/>
    <w:rPr>
      <w:rFonts w:ascii="Times New Roman" w:hAnsi="Times New Roman" w:eastAsia="Times New Roman" w:cs="Times New Roman"/>
      <w:bCs/>
      <w:color w:val="4F5252"/>
      <w:sz w:val="18"/>
      <w:szCs w:val="18"/>
      <w:lang w:val="en-US" w:eastAsia="en-US"/>
    </w:rPr>
  </w:style>
  <w:style w:type="character" w:styleId="InternetLink">
    <w:name w:val="Internet Link"/>
    <w:rPr>
      <w:color w:val="0C9DD9"/>
      <w:u w:val="single"/>
    </w:rPr>
  </w:style>
  <w:style w:type="character" w:styleId="UnresolvedMention1">
    <w:name w:val="Unresolved Mention1"/>
    <w:qFormat/>
    <w:rPr>
      <w:color w:val="605E5C"/>
      <w:shd w:fill="E1DFDD" w:val="clear"/>
    </w:rPr>
  </w:style>
  <w:style w:type="character" w:styleId="Pagenumber">
    <w:name w:val="page number"/>
    <w:basedOn w:val="DefaultParagraphFont"/>
    <w:qFormat/>
    <w:rPr/>
  </w:style>
  <w:style w:type="character" w:styleId="Heading2Char">
    <w:name w:val="Heading 2 Char"/>
    <w:qFormat/>
    <w:rPr>
      <w:rFonts w:eastAsia="Times New Roman"/>
      <w:b/>
      <w:bCs/>
      <w:color w:val="0C9DD9"/>
      <w:sz w:val="22"/>
    </w:rPr>
  </w:style>
  <w:style w:type="character" w:styleId="Heading1Char">
    <w:name w:val="Heading 1 Char"/>
    <w:qFormat/>
    <w:rPr>
      <w:rFonts w:eastAsia="Times New Roman"/>
      <w:b/>
      <w:bCs/>
      <w:color w:val="13A64C"/>
      <w:sz w:val="28"/>
      <w:szCs w:val="28"/>
    </w:rPr>
  </w:style>
  <w:style w:type="character" w:styleId="Heading3Char">
    <w:name w:val="Heading 3 Char"/>
    <w:qFormat/>
    <w:rPr>
      <w:rFonts w:ascii="Century Gothic" w:hAnsi="Century Gothic" w:eastAsia="Times New Roman" w:cs="Times New Roman"/>
      <w:b/>
      <w:bCs/>
      <w:color w:val="D11317"/>
      <w:sz w:val="20"/>
      <w:szCs w:val="20"/>
      <w:lang w:eastAsia="en-GB"/>
    </w:rPr>
  </w:style>
  <w:style w:type="character" w:styleId="FootnoteTextChar">
    <w:name w:val="Footnote Text Char"/>
    <w:qFormat/>
    <w:rPr>
      <w:rFonts w:ascii="Arial" w:hAnsi="Arial" w:eastAsia="Times New Roman" w:cs="Arial"/>
      <w:bCs/>
      <w:color w:val="4C4C4D"/>
      <w:spacing w:val="-2"/>
      <w:sz w:val="20"/>
      <w:szCs w:val="20"/>
      <w:lang w:val="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Spellingerror">
    <w:name w:val="spellingerror"/>
    <w:basedOn w:val="DefaultParagraphFont"/>
    <w:qFormat/>
    <w:rPr/>
  </w:style>
  <w:style w:type="character" w:styleId="Normaltextrun">
    <w:name w:val="normaltextrun"/>
    <w:basedOn w:val="DefaultParagraphFont"/>
    <w:qFormat/>
    <w:rPr/>
  </w:style>
  <w:style w:type="character" w:styleId="HeaderChar">
    <w:name w:val="Header Char"/>
    <w:basedOn w:val="DefaultParagraphFont"/>
    <w:qFormat/>
    <w:rPr>
      <w:rFonts w:ascii="Arial" w:hAnsi="Arial" w:eastAsia="Times New Roman" w:cs="Arial"/>
      <w:bCs/>
      <w:color w:val="4F5252"/>
      <w:lang w:val="en-US" w:eastAsia="en-US"/>
    </w:rPr>
  </w:style>
  <w:style w:type="character" w:styleId="FooterChar">
    <w:name w:val="Footer Char"/>
    <w:basedOn w:val="DefaultParagraphFont"/>
    <w:qFormat/>
    <w:rPr>
      <w:rFonts w:ascii="Arial" w:hAnsi="Arial" w:eastAsia="Times New Roman" w:cs="Arial"/>
      <w:bCs/>
      <w:color w:val="4F5252"/>
      <w:lang w:val="en-US" w:eastAsia="en-US"/>
    </w:rPr>
  </w:style>
  <w:style w:type="character" w:styleId="UnresolvedMention2">
    <w:name w:val="Unresolved Mention2"/>
    <w:basedOn w:val="DefaultParagraphFont"/>
    <w:qFormat/>
    <w:rPr>
      <w:color w:val="605E5C"/>
      <w:shd w:fill="E1DFDD" w:val="clear"/>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ReferenceIntroLineCenturyGothic">
    <w:name w:val="Reference/Intro Line Century Gothic"/>
    <w:basedOn w:val="Normal"/>
    <w:next w:val="Normal"/>
    <w:qFormat/>
    <w:pPr/>
    <w:rPr>
      <w:rFonts w:ascii="Century Gothic" w:hAnsi="Century Gothic" w:cs="Times New Roman"/>
      <w:b/>
      <w:color w:val="0C9DD9"/>
      <w:sz w:val="22"/>
      <w:lang w:val="en-GB" w:eastAsia="en-GB"/>
    </w:rPr>
  </w:style>
  <w:style w:type="paragraph" w:styleId="BalloonText">
    <w:name w:val="Balloon Text"/>
    <w:basedOn w:val="Normal"/>
    <w:qFormat/>
    <w:pPr>
      <w:spacing w:lineRule="auto" w:line="240" w:before="0" w:after="0"/>
    </w:pPr>
    <w:rPr>
      <w:rFonts w:ascii="Times New Roman" w:hAnsi="Times New Roman" w:cs="Times New Roman"/>
      <w:sz w:val="18"/>
      <w:szCs w:val="18"/>
    </w:rPr>
  </w:style>
  <w:style w:type="paragraph" w:styleId="SignatureDetails">
    <w:name w:val="Signature Details"/>
    <w:basedOn w:val="ReferenceIntroLineCenturyGothic"/>
    <w:next w:val="Normal"/>
    <w:qFormat/>
    <w:pPr>
      <w:spacing w:lineRule="auto" w:line="240" w:before="0" w:after="240"/>
      <w:contextualSpacing/>
    </w:pPr>
    <w:rPr>
      <w:b w:val="false"/>
    </w:rPr>
  </w:style>
  <w:style w:type="paragraph" w:styleId="SignatureName">
    <w:name w:val="Signature Name"/>
    <w:basedOn w:val="ReferenceIntroLineCenturyGothic"/>
    <w:next w:val="SignatureDetails"/>
    <w:qFormat/>
    <w:pPr>
      <w:spacing w:lineRule="auto" w:line="240" w:before="0" w:after="0"/>
      <w:contextualSpacing/>
    </w:pPr>
    <w:rPr/>
  </w:style>
  <w:style w:type="paragraph" w:styleId="BasicParagraph">
    <w:name w:val="[Basic Paragraph]"/>
    <w:basedOn w:val="Normal"/>
    <w:qFormat/>
    <w:pPr>
      <w:spacing w:lineRule="auto" w:line="288" w:before="0" w:after="0"/>
      <w:textAlignment w:val="center"/>
    </w:pPr>
    <w:rPr>
      <w:rFonts w:ascii="Times;Times New Roman" w:hAnsi="Times;Times New Roman" w:eastAsia="Century Gothic" w:cs="Times;Times New Roman"/>
      <w:bCs w:val="false"/>
      <w:color w:val="000000"/>
      <w:sz w:val="24"/>
      <w:szCs w:val="24"/>
      <w:lang w:val="en-GB"/>
    </w:rPr>
  </w:style>
  <w:style w:type="paragraph" w:styleId="ListParagraph">
    <w:name w:val="List Paragraph"/>
    <w:basedOn w:val="Normal"/>
    <w:qFormat/>
    <w:pPr>
      <w:spacing w:before="0" w:after="240"/>
      <w:ind w:left="720" w:right="0" w:hanging="0"/>
      <w:contextualSpacing/>
    </w:pPr>
    <w:rPr/>
  </w:style>
  <w:style w:type="paragraph" w:styleId="NumberedBullets">
    <w:name w:val="Numbered Bullets"/>
    <w:basedOn w:val="ListParagraph"/>
    <w:qFormat/>
    <w:pPr>
      <w:ind w:left="612" w:right="0" w:hanging="0"/>
    </w:pPr>
    <w:rPr>
      <w:szCs w:val="16"/>
    </w:rPr>
  </w:style>
  <w:style w:type="paragraph" w:styleId="Footnote">
    <w:name w:val="Footnote Text"/>
    <w:basedOn w:val="Normal"/>
    <w:pPr>
      <w:spacing w:lineRule="auto" w:line="360"/>
    </w:pPr>
    <w:rPr>
      <w:color w:val="585857"/>
      <w:sz w:val="18"/>
      <w:szCs w:val="18"/>
    </w:rPr>
  </w:style>
  <w:style w:type="paragraph" w:styleId="TOCHeading">
    <w:name w:val="TOC Heading"/>
    <w:basedOn w:val="Heading1"/>
    <w:next w:val="Normal"/>
    <w:qFormat/>
    <w:pPr>
      <w:keepNext w:val="true"/>
      <w:keepLines/>
      <w:numPr>
        <w:ilvl w:val="0"/>
        <w:numId w:val="0"/>
      </w:numPr>
      <w:spacing w:lineRule="auto" w:line="276" w:before="480" w:after="0"/>
    </w:pPr>
    <w:rPr>
      <w:color w:val="1674A1"/>
      <w:lang w:val="en-US" w:eastAsia="en-US"/>
    </w:rPr>
  </w:style>
  <w:style w:type="paragraph" w:styleId="Contents2">
    <w:name w:val="TOC 2"/>
    <w:basedOn w:val="Normal"/>
    <w:next w:val="Normal"/>
    <w:pPr>
      <w:spacing w:before="0" w:after="0"/>
      <w:ind w:left="220" w:right="0" w:hanging="0"/>
    </w:pPr>
    <w:rPr>
      <w:rFonts w:ascii="Century Gothic" w:hAnsi="Century Gothic" w:cs="Century Gothic"/>
      <w:bCs w:val="false"/>
      <w:smallCaps/>
    </w:rPr>
  </w:style>
  <w:style w:type="paragraph" w:styleId="Contents1">
    <w:name w:val="TOC 1"/>
    <w:basedOn w:val="Normal"/>
    <w:next w:val="Normal"/>
    <w:pPr>
      <w:spacing w:before="120" w:after="120"/>
      <w:ind w:left="0" w:right="2345" w:hanging="0"/>
    </w:pPr>
    <w:rPr>
      <w:b/>
      <w:caps/>
      <w:color w:val="0B9C3C"/>
    </w:rPr>
  </w:style>
  <w:style w:type="paragraph" w:styleId="Contents3">
    <w:name w:val="TOC 3"/>
    <w:basedOn w:val="Normal"/>
    <w:next w:val="Normal"/>
    <w:pPr>
      <w:spacing w:before="0" w:after="0"/>
      <w:ind w:left="440" w:right="0" w:hanging="0"/>
    </w:pPr>
    <w:rPr>
      <w:rFonts w:ascii="Century Gothic" w:hAnsi="Century Gothic" w:cs="Century Gothic"/>
      <w:bCs w:val="false"/>
      <w:i/>
      <w:iCs/>
    </w:rPr>
  </w:style>
  <w:style w:type="paragraph" w:styleId="Contents4">
    <w:name w:val="TOC 4"/>
    <w:basedOn w:val="Normal"/>
    <w:next w:val="Normal"/>
    <w:pPr>
      <w:spacing w:before="0" w:after="0"/>
      <w:ind w:left="660" w:right="0" w:hanging="0"/>
    </w:pPr>
    <w:rPr>
      <w:rFonts w:ascii="Century Gothic" w:hAnsi="Century Gothic" w:cs="Century Gothic"/>
      <w:bCs w:val="false"/>
      <w:sz w:val="18"/>
      <w:szCs w:val="18"/>
    </w:rPr>
  </w:style>
  <w:style w:type="paragraph" w:styleId="Contents5">
    <w:name w:val="TOC 5"/>
    <w:basedOn w:val="Normal"/>
    <w:next w:val="Normal"/>
    <w:pPr>
      <w:spacing w:before="0" w:after="0"/>
      <w:ind w:left="880" w:right="0" w:hanging="0"/>
    </w:pPr>
    <w:rPr>
      <w:rFonts w:ascii="Century Gothic" w:hAnsi="Century Gothic" w:cs="Century Gothic"/>
      <w:bCs w:val="false"/>
      <w:sz w:val="18"/>
      <w:szCs w:val="18"/>
    </w:rPr>
  </w:style>
  <w:style w:type="paragraph" w:styleId="Contents6">
    <w:name w:val="TOC 6"/>
    <w:basedOn w:val="Normal"/>
    <w:next w:val="Normal"/>
    <w:pPr>
      <w:spacing w:before="0" w:after="0"/>
      <w:ind w:left="1100" w:right="0" w:hanging="0"/>
    </w:pPr>
    <w:rPr>
      <w:rFonts w:ascii="Century Gothic" w:hAnsi="Century Gothic" w:cs="Century Gothic"/>
      <w:bCs w:val="false"/>
      <w:sz w:val="18"/>
      <w:szCs w:val="18"/>
    </w:rPr>
  </w:style>
  <w:style w:type="paragraph" w:styleId="Contents7">
    <w:name w:val="TOC 7"/>
    <w:basedOn w:val="Normal"/>
    <w:next w:val="Normal"/>
    <w:pPr>
      <w:spacing w:before="0" w:after="0"/>
      <w:ind w:left="1320" w:right="0" w:hanging="0"/>
    </w:pPr>
    <w:rPr>
      <w:rFonts w:ascii="Century Gothic" w:hAnsi="Century Gothic" w:cs="Century Gothic"/>
      <w:bCs w:val="false"/>
      <w:sz w:val="18"/>
      <w:szCs w:val="18"/>
    </w:rPr>
  </w:style>
  <w:style w:type="paragraph" w:styleId="Contents8">
    <w:name w:val="TOC 8"/>
    <w:basedOn w:val="Normal"/>
    <w:next w:val="Normal"/>
    <w:pPr>
      <w:spacing w:before="0" w:after="0"/>
      <w:ind w:left="1540" w:right="0" w:hanging="0"/>
    </w:pPr>
    <w:rPr>
      <w:rFonts w:ascii="Century Gothic" w:hAnsi="Century Gothic" w:cs="Century Gothic"/>
      <w:bCs w:val="false"/>
      <w:sz w:val="18"/>
      <w:szCs w:val="18"/>
    </w:rPr>
  </w:style>
  <w:style w:type="paragraph" w:styleId="Contents9">
    <w:name w:val="TOC 9"/>
    <w:basedOn w:val="Normal"/>
    <w:next w:val="Normal"/>
    <w:pPr>
      <w:spacing w:before="0" w:after="0"/>
      <w:ind w:left="1760" w:right="0" w:hanging="0"/>
    </w:pPr>
    <w:rPr>
      <w:rFonts w:ascii="Century Gothic" w:hAnsi="Century Gothic" w:cs="Century Gothic"/>
      <w:bCs w:val="false"/>
      <w:sz w:val="18"/>
      <w:szCs w:val="18"/>
    </w:rPr>
  </w:style>
  <w:style w:type="paragraph" w:styleId="NoSpacing">
    <w:name w:val="No Spacing"/>
    <w:qFormat/>
    <w:pPr>
      <w:widowControl/>
      <w:suppressAutoHyphens w:val="true"/>
      <w:bidi w:val="0"/>
      <w:spacing w:before="0" w:after="0"/>
      <w:jc w:val="left"/>
    </w:pPr>
    <w:rPr>
      <w:rFonts w:ascii="Arial" w:hAnsi="Arial" w:eastAsia="Times New Roman" w:cs="Arial"/>
      <w:bCs/>
      <w:color w:val="4C4C4D"/>
      <w:spacing w:val="-2"/>
      <w:kern w:val="0"/>
      <w:sz w:val="22"/>
      <w:szCs w:val="20"/>
      <w:lang w:val="en-US" w:eastAsia="en-US" w:bidi="ar-SA"/>
    </w:rPr>
  </w:style>
  <w:style w:type="paragraph" w:styleId="BulletPoints">
    <w:name w:val="Bullet Points"/>
    <w:basedOn w:val="Normal"/>
    <w:qFormat/>
    <w:pPr>
      <w:spacing w:before="0" w:after="0"/>
      <w:ind w:left="714" w:right="0" w:hanging="357"/>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NormalWeb">
    <w:name w:val="Normal (Web)"/>
    <w:basedOn w:val="Normal"/>
    <w:qFormat/>
    <w:pPr>
      <w:spacing w:lineRule="auto" w:line="240" w:before="280" w:after="280"/>
    </w:pPr>
    <w:rPr>
      <w:rFonts w:ascii="Times New Roman" w:hAnsi="Times New Roman" w:cs="Times New Roman"/>
      <w:bCs w:val="false"/>
      <w:color w:val="auto"/>
      <w:sz w:val="24"/>
      <w:szCs w:val="24"/>
      <w:lang w:val="en-GB" w:eastAsia="en-GB"/>
    </w:rPr>
  </w:style>
  <w:style w:type="paragraph" w:styleId="4Bulletedcopyblue">
    <w:name w:val="4 Bulleted copy blue"/>
    <w:basedOn w:val="Normal"/>
    <w:qFormat/>
    <w:pPr>
      <w:spacing w:lineRule="auto" w:line="240" w:before="0" w:after="60"/>
    </w:pPr>
    <w:rPr>
      <w:rFonts w:eastAsia="MS Mincho"/>
      <w:bCs w:val="false"/>
      <w:lang w:val="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2026-06-01T10:14:00Z</dcterms:created>
  <dc:creator>Ed Longton</dc:creator>
  <dc:description/>
  <dc:language>en-US</dc:language>
  <cp:lastModifiedBy>Lisa Marie Flynn</cp:lastModifiedBy>
  <cp:lastPrinted>1995-11-21T17:41:00Z</cp:lastPrinted>
  <dcterms:modified xsi:type="dcterms:W3CDTF">2026-06-02T08:53:00Z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f38d0305131e18efe172796f3f29a1ea5d5949d86f52ff56d5c68fa7407a360e</vt:lpwstr>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