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pBdr/>
        <w:rPr>
          <w:rFonts w:ascii="Calibri" w:hAnsi="Calibri" w:eastAsia="Century Gothic" w:cs="Calibri"/>
          <w:b/>
          <w:b/>
          <w:bCs/>
          <w:color w:val="5E5E5E"/>
          <w:sz w:val="22"/>
          <w:szCs w:val="22"/>
        </w:rPr>
      </w:pPr>
      <w:r>
        <w:rPr>
          <w:rFonts w:eastAsia="Century Gothic" w:cs="Calibri" w:ascii="Calibri" w:hAnsi="Calibri"/>
          <w:b/>
          <w:bCs/>
          <w:color w:val="5E5E5E"/>
          <w:sz w:val="22"/>
          <w:szCs w:val="22"/>
        </w:rPr>
        <w:t>TEACHING ASSISTANT LEVEL 2</w:t>
      </w:r>
    </w:p>
    <w:p>
      <w:pPr>
        <w:pStyle w:val="Normal"/>
        <w:pBdr/>
        <w:rPr>
          <w:rFonts w:ascii="Calibri" w:hAnsi="Calibri" w:eastAsia="Century Gothic" w:cs="Calibri"/>
          <w:b/>
          <w:b/>
          <w:bCs/>
          <w:color w:val="5E5E5E"/>
          <w:sz w:val="22"/>
          <w:szCs w:val="22"/>
        </w:rPr>
      </w:pPr>
      <w:r>
        <w:rPr>
          <w:rFonts w:eastAsia="Century Gothic" w:cs="Calibri" w:ascii="Calibri" w:hAnsi="Calibri"/>
          <w:b/>
          <w:bCs/>
          <w:color w:val="5E5E5E"/>
          <w:sz w:val="22"/>
          <w:szCs w:val="22"/>
        </w:rPr>
        <w:t>JOB DESCRIPTION AND PERSON SPECIFICATION</w:t>
      </w:r>
    </w:p>
    <w:p>
      <w:pPr>
        <w:pStyle w:val="Normal"/>
        <w:pBdr/>
        <w:rPr>
          <w:rFonts w:ascii="Calibri" w:hAnsi="Calibri" w:eastAsia="Century Gothic" w:cs="Calibri"/>
          <w:color w:val="000000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6120130" cy="174625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640" cy="173880"/>
                        </a:xfrm>
                        <a:prstGeom prst="rect">
                          <a:avLst/>
                        </a:prstGeom>
                        <a:solidFill>
                          <a:srgbClr val="2e3192"/>
                        </a:solidFill>
                        <a:ln w="9360">
                          <a:solidFill>
                            <a:srgbClr val="2e3192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type id="_x005F_x0000_t202" coordsize="21600,21600" o:spt="202" path="m,l,21600l21600,21600l21600,xe">
                <v:stroke joinstyle="miter"/>
                <v:path gradientshapeok="t" o:connecttype="rect"/>
              </v:shapetype>
              <v:shape id="shape_0" fillcolor="#2e3192" stroked="t" style="position:absolute;margin-left:0pt;margin-top:0pt;width:481.8pt;height:13.65pt;mso-position-horizontal-relative:char" type="shapetype_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kern w:val="2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w10:wrap type="none"/>
                <v:fill o:detectmouseclick="t" type="solid" color2="#d1ce6d"/>
                <v:stroke color="#2e3192" weight="9360" joinstyle="miter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72390" distR="72390" simplePos="0" locked="0" layoutInCell="1" allowOverlap="1" relativeHeight="7">
                <wp:simplePos x="0" y="0"/>
                <wp:positionH relativeFrom="column">
                  <wp:posOffset>-635</wp:posOffset>
                </wp:positionH>
                <wp:positionV relativeFrom="paragraph">
                  <wp:posOffset>5080</wp:posOffset>
                </wp:positionV>
                <wp:extent cx="6119495" cy="168910"/>
                <wp:effectExtent l="0" t="0" r="0" b="0"/>
                <wp:wrapNone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16891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ind w:left="103" w:right="0" w:hanging="0"/>
                              <w:rPr>
                                <w:rFonts w:ascii="Arial" w:hAnsi="Arial" w:eastAsia="Arial" w:cs="Arial"/>
                                <w:b/>
                                <w:b/>
                                <w:color w:val="FFFFFF"/>
                                <w:highlight w:val="darkBlue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color w:val="FFFFFF"/>
                                <w:shd w:fill="2E3192" w:val="clear"/>
                              </w:rPr>
                              <w:t>Job Details</w:t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481.85pt;height:13.3pt;mso-wrap-distance-left:5.7pt;mso-wrap-distance-right:5.7pt;mso-wrap-distance-top:5.7pt;mso-wrap-distance-bottom:5.7pt;margin-top:0.4pt;mso-position-vertical-relative:text;margin-left:-0.05pt;mso-position-horizontal-relative:text">
                <v:textbox inset="0.000694444444444444in,0.000694444444444444in,0.000694444444444444in,0.000694444444444444in">
                  <w:txbxContent>
                    <w:p>
                      <w:pPr>
                        <w:pStyle w:val="FrameContents"/>
                        <w:ind w:left="103" w:right="0" w:hanging="0"/>
                        <w:rPr>
                          <w:rFonts w:ascii="Arial" w:hAnsi="Arial" w:eastAsia="Arial" w:cs="Arial"/>
                          <w:b/>
                          <w:b/>
                          <w:color w:val="FFFFFF"/>
                          <w:highlight w:val="darkBlue"/>
                        </w:rPr>
                      </w:pPr>
                      <w:r>
                        <w:rPr>
                          <w:rFonts w:eastAsia="Arial" w:cs="Arial" w:ascii="Arial" w:hAnsi="Arial"/>
                          <w:b/>
                          <w:color w:val="FFFFFF"/>
                          <w:shd w:fill="2E3192" w:val="clear"/>
                        </w:rPr>
                        <w:t>Job Details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pBdr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</w:r>
    </w:p>
    <w:p>
      <w:pPr>
        <w:pStyle w:val="Normal"/>
        <w:pBdr/>
        <w:rPr/>
      </w:pPr>
      <w:r>
        <w:rPr>
          <w:rFonts w:eastAsia="Century Gothic" w:cs="Calibri" w:ascii="Calibri" w:hAnsi="Calibri"/>
          <w:b/>
          <w:bCs/>
          <w:color w:val="000000"/>
          <w:sz w:val="22"/>
          <w:szCs w:val="22"/>
        </w:rPr>
        <w:t xml:space="preserve">Post title: </w:t>
      </w:r>
      <w:r>
        <w:rPr>
          <w:rFonts w:eastAsia="Century Gothic" w:cs="Calibri" w:ascii="Calibri" w:hAnsi="Calibri"/>
          <w:b/>
          <w:bCs/>
          <w:sz w:val="22"/>
          <w:szCs w:val="22"/>
        </w:rPr>
        <w:t>Teaching Assistant Level 2</w:t>
      </w:r>
    </w:p>
    <w:p>
      <w:pPr>
        <w:pStyle w:val="Normal"/>
        <w:pBdr/>
        <w:rPr>
          <w:rFonts w:ascii="Calibri" w:hAnsi="Calibri" w:eastAsia="Century Gothic" w:cs="Calibri"/>
          <w:b/>
          <w:b/>
          <w:bCs/>
          <w:color w:val="000000"/>
          <w:sz w:val="22"/>
          <w:szCs w:val="22"/>
        </w:rPr>
      </w:pPr>
      <w:r>
        <w:rPr>
          <w:rFonts w:eastAsia="Century Gothic" w:cs="Calibri" w:ascii="Calibri" w:hAnsi="Calibri"/>
          <w:b/>
          <w:bCs/>
          <w:color w:val="000000"/>
          <w:sz w:val="22"/>
          <w:szCs w:val="22"/>
        </w:rPr>
        <w:t>Salary Range: SCP 6-11</w:t>
      </w:r>
    </w:p>
    <w:p>
      <w:pPr>
        <w:pStyle w:val="Normal"/>
        <w:pBdr/>
        <w:rPr/>
      </w:pPr>
      <w:r>
        <w:rPr>
          <w:rFonts w:eastAsia="Century Gothic" w:cs="Calibri" w:ascii="Calibri" w:hAnsi="Calibri"/>
          <w:b/>
          <w:bCs/>
          <w:color w:val="000000"/>
          <w:sz w:val="22"/>
          <w:szCs w:val="22"/>
        </w:rPr>
        <w:t xml:space="preserve">Accountable to: </w:t>
      </w:r>
      <w:r>
        <w:rPr>
          <w:rFonts w:eastAsia="Century Gothic" w:cs="Calibri" w:ascii="Calibri" w:hAnsi="Calibri"/>
          <w:b/>
          <w:bCs/>
          <w:sz w:val="22"/>
          <w:szCs w:val="22"/>
        </w:rPr>
        <w:t>SENDCO</w:t>
      </w:r>
    </w:p>
    <w:p>
      <w:pPr>
        <w:pStyle w:val="Normal"/>
        <w:pBdr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-8890</wp:posOffset>
                </wp:positionH>
                <wp:positionV relativeFrom="paragraph">
                  <wp:posOffset>173355</wp:posOffset>
                </wp:positionV>
                <wp:extent cx="6243320" cy="177800"/>
                <wp:effectExtent l="0" t="0" r="0" b="0"/>
                <wp:wrapTopAndBottom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760" cy="177120"/>
                        </a:xfrm>
                        <a:prstGeom prst="rect">
                          <a:avLst/>
                        </a:prstGeom>
                        <a:solidFill>
                          <a:srgbClr val="2e3192"/>
                        </a:solidFill>
                        <a:ln w="9360">
                          <a:solidFill>
                            <a:srgbClr val="2e319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2e3192" stroked="t" style="position:absolute;margin-left:-0.7pt;margin-top:13.65pt;width:491.5pt;height:13.9pt" type="shapetype_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kern w:val="2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w10:wrap type="none"/>
                <v:fill o:detectmouseclick="t" type="solid" color2="#d1ce6d"/>
                <v:stroke color="#2e3192" weight="9360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0" simplePos="0" locked="0" layoutInCell="1" allowOverlap="1" relativeHeight="8">
                <wp:simplePos x="0" y="0"/>
                <wp:positionH relativeFrom="column">
                  <wp:posOffset>-8890</wp:posOffset>
                </wp:positionH>
                <wp:positionV relativeFrom="paragraph">
                  <wp:posOffset>173355</wp:posOffset>
                </wp:positionV>
                <wp:extent cx="6242685" cy="177165"/>
                <wp:effectExtent l="0" t="0" r="0" b="0"/>
                <wp:wrapNone/>
                <wp:docPr id="4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685" cy="17716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ind w:left="103" w:right="0" w:hanging="0"/>
                              <w:rPr>
                                <w:rFonts w:ascii="Arial" w:hAnsi="Arial" w:eastAsia="Arial" w:cs="Arial"/>
                                <w:b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color w:val="FFFFFF"/>
                              </w:rPr>
                              <w:t>Overall Purpose of</w:t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491.55pt;height:13.95pt;mso-wrap-distance-left:0pt;mso-wrap-distance-right:0pt;mso-wrap-distance-top:5.7pt;mso-wrap-distance-bottom:5.7pt;margin-top:13.65pt;mso-position-vertical-relative:text;margin-left:-0.7pt;mso-position-horizontal-relative:text">
                <v:textbox inset="0.000694444444444444in,0.000694444444444444in,0.000694444444444444in,0.000694444444444444in">
                  <w:txbxContent>
                    <w:p>
                      <w:pPr>
                        <w:pStyle w:val="FrameContents"/>
                        <w:ind w:left="103" w:right="0" w:hanging="0"/>
                        <w:rPr>
                          <w:rFonts w:ascii="Arial" w:hAnsi="Arial" w:eastAsia="Arial" w:cs="Arial"/>
                          <w:b/>
                          <w:b/>
                          <w:color w:val="FFFFFF"/>
                        </w:rPr>
                      </w:pPr>
                      <w:r>
                        <w:rPr>
                          <w:rFonts w:eastAsia="Arial" w:cs="Arial" w:ascii="Arial" w:hAnsi="Arial"/>
                          <w:b/>
                          <w:color w:val="FFFFFF"/>
                        </w:rPr>
                        <w:t>Overall Purpose of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both"/>
        <w:rPr/>
      </w:pPr>
      <w:r>
        <w:rPr>
          <w:rFonts w:eastAsia="Century Gothic" w:cs="Calibri" w:ascii="Calibri" w:hAnsi="Calibri"/>
          <w:sz w:val="22"/>
          <w:szCs w:val="22"/>
        </w:rPr>
        <w:t>The Teaching Assistant Level 2 will work in partnership with teachers, SEND staff and pastoral teams to support high</w:t>
      </w:r>
      <w:r>
        <w:rPr>
          <w:rFonts w:eastAsia="Century Gothic" w:cs="Cambria Math" w:ascii="Cambria Math" w:hAnsi="Cambria Math"/>
          <w:sz w:val="22"/>
          <w:szCs w:val="22"/>
        </w:rPr>
        <w:noBreakHyphen/>
      </w:r>
      <w:r>
        <w:rPr>
          <w:rFonts w:eastAsia="Century Gothic" w:cs="Calibri" w:ascii="Calibri" w:hAnsi="Calibri"/>
          <w:sz w:val="22"/>
          <w:szCs w:val="22"/>
        </w:rPr>
        <w:t>quality learning, inclusion and personal development for students. The post</w:t>
      </w:r>
      <w:r>
        <w:rPr>
          <w:rFonts w:eastAsia="Century Gothic" w:cs="Cambria Math" w:ascii="Cambria Math" w:hAnsi="Cambria Math"/>
          <w:sz w:val="22"/>
          <w:szCs w:val="22"/>
        </w:rPr>
        <w:noBreakHyphen/>
      </w:r>
      <w:r>
        <w:rPr>
          <w:rFonts w:eastAsia="Century Gothic" w:cs="Calibri" w:ascii="Calibri" w:hAnsi="Calibri"/>
          <w:sz w:val="22"/>
          <w:szCs w:val="22"/>
        </w:rPr>
        <w:t>holder will contribute to a positive, purposeful learning environment and support the wider development of students academically, emotionally and socially.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This role requires initiative, professionalism, strong communication, and the ability to build positive, supportive relationships with young people and colleagues - and contribute positively to the wider ethos and expectations of Woodheys Primary School.</w:t>
      </w:r>
    </w:p>
    <w:p>
      <w:pPr>
        <w:pStyle w:val="Normal"/>
        <w:spacing w:before="220" w:after="220"/>
        <w:jc w:val="both"/>
        <w:rPr/>
      </w:pPr>
      <w:r>
        <w:rPr>
          <w:rFonts w:eastAsia="Century Gothic" w:cs="Calibri" w:ascii="Calibri" w:hAnsi="Calibri"/>
          <w:sz w:val="22"/>
          <w:szCs w:val="22"/>
        </w:rPr>
        <w:t>The post</w:t>
      </w:r>
      <w:r>
        <w:rPr>
          <w:rFonts w:eastAsia="Century Gothic" w:cs="Cambria Math" w:ascii="Cambria Math" w:hAnsi="Cambria Math"/>
          <w:sz w:val="22"/>
          <w:szCs w:val="22"/>
        </w:rPr>
        <w:noBreakHyphen/>
      </w:r>
      <w:r>
        <w:rPr>
          <w:rFonts w:eastAsia="Century Gothic" w:cs="Calibri" w:ascii="Calibri" w:hAnsi="Calibri"/>
          <w:sz w:val="22"/>
          <w:szCs w:val="22"/>
        </w:rPr>
        <w:t>holder will work regularly with:</w:t>
      </w:r>
    </w:p>
    <w:p>
      <w:pPr>
        <w:pStyle w:val="Normal"/>
        <w:numPr>
          <w:ilvl w:val="0"/>
          <w:numId w:val="5"/>
        </w:numPr>
        <w:spacing w:before="220" w:after="0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 xml:space="preserve">Class teachers </w:t>
      </w:r>
    </w:p>
    <w:p>
      <w:pPr>
        <w:pStyle w:val="Normal"/>
        <w:numPr>
          <w:ilvl w:val="0"/>
          <w:numId w:val="5"/>
        </w:numPr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SENCo, Pastoral teams and Phase Leader</w:t>
      </w:r>
    </w:p>
    <w:p>
      <w:pPr>
        <w:pStyle w:val="Normal"/>
        <w:numPr>
          <w:ilvl w:val="0"/>
          <w:numId w:val="5"/>
        </w:numPr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Pupils and their families</w:t>
      </w:r>
    </w:p>
    <w:p>
      <w:pPr>
        <w:pStyle w:val="Normal"/>
        <w:numPr>
          <w:ilvl w:val="0"/>
          <w:numId w:val="5"/>
        </w:numPr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External agencies and professionals where appropriate</w:t>
      </w:r>
    </w:p>
    <w:p>
      <w:pPr>
        <w:pStyle w:val="Normal"/>
        <w:numPr>
          <w:ilvl w:val="0"/>
          <w:numId w:val="5"/>
        </w:numPr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Wider support staff</w:t>
      </w:r>
    </w:p>
    <w:p>
      <w:pPr>
        <w:pStyle w:val="Normal"/>
        <w:numPr>
          <w:ilvl w:val="0"/>
          <w:numId w:val="5"/>
        </w:numPr>
        <w:spacing w:before="0" w:after="220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Senior Leadership Team</w:t>
      </w:r>
    </w:p>
    <w:p>
      <w:pPr>
        <w:pStyle w:val="Normal"/>
        <w:pBdr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-8890</wp:posOffset>
                </wp:positionH>
                <wp:positionV relativeFrom="paragraph">
                  <wp:posOffset>173355</wp:posOffset>
                </wp:positionV>
                <wp:extent cx="6243320" cy="177800"/>
                <wp:effectExtent l="0" t="0" r="0" b="0"/>
                <wp:wrapTopAndBottom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760" cy="177120"/>
                        </a:xfrm>
                        <a:prstGeom prst="rect">
                          <a:avLst/>
                        </a:prstGeom>
                        <a:solidFill>
                          <a:srgbClr val="2e3192"/>
                        </a:solidFill>
                        <a:ln w="9360">
                          <a:solidFill>
                            <a:srgbClr val="2e319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2e3192" stroked="t" style="position:absolute;margin-left:-0.7pt;margin-top:13.65pt;width:491.5pt;height:13.9pt" type="shapetype_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kern w:val="2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w10:wrap type="none"/>
                <v:fill o:detectmouseclick="t" type="solid" color2="#d1ce6d"/>
                <v:stroke color="#2e3192" weight="9360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0" simplePos="0" locked="0" layoutInCell="1" allowOverlap="1" relativeHeight="9">
                <wp:simplePos x="0" y="0"/>
                <wp:positionH relativeFrom="column">
                  <wp:posOffset>-8890</wp:posOffset>
                </wp:positionH>
                <wp:positionV relativeFrom="paragraph">
                  <wp:posOffset>173355</wp:posOffset>
                </wp:positionV>
                <wp:extent cx="6242685" cy="177165"/>
                <wp:effectExtent l="0" t="0" r="0" b="0"/>
                <wp:wrapNone/>
                <wp:docPr id="6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685" cy="17716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eastAsia="Arial" w:cs="Arial" w:ascii="Arial" w:hAnsi="Arial"/>
                                <w:b/>
                                <w:color w:val="FFFFFF"/>
                              </w:rPr>
                              <w:t>Main purpose of the post</w:t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491.55pt;height:13.95pt;mso-wrap-distance-left:0pt;mso-wrap-distance-right:0pt;mso-wrap-distance-top:5.7pt;mso-wrap-distance-bottom:5.7pt;margin-top:13.65pt;mso-position-vertical-relative:text;margin-left:-0.7pt;mso-position-horizontal-relative:text">
                <v:textbox inset="0.000694444444444444in,0.000694444444444444in,0.000694444444444444in,0.000694444444444444in"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eastAsia="Arial" w:cs="Arial" w:ascii="Arial" w:hAnsi="Arial"/>
                          <w:b/>
                          <w:color w:val="FFFFFF"/>
                        </w:rPr>
                        <w:t xml:space="preserve"> </w:t>
                      </w:r>
                      <w:r>
                        <w:rPr>
                          <w:rFonts w:eastAsia="Arial" w:cs="Arial" w:ascii="Arial" w:hAnsi="Arial"/>
                          <w:b/>
                          <w:color w:val="FFFFFF"/>
                        </w:rPr>
                        <w:t>Main purpose of the post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pBdr/>
        <w:rPr>
          <w:rFonts w:ascii="Calibri" w:hAnsi="Calibri" w:eastAsia="Century Gothic" w:cs="Calibri"/>
          <w:sz w:val="21"/>
          <w:szCs w:val="21"/>
        </w:rPr>
      </w:pPr>
      <w:r>
        <w:rPr>
          <w:rFonts w:eastAsia="Century Gothic" w:cs="Calibri" w:ascii="Calibri" w:hAnsi="Calibri"/>
          <w:sz w:val="21"/>
          <w:szCs w:val="21"/>
        </w:rPr>
        <w:t>To play a key role in supporting students to achieve success both academically and personally through high-quality classroom, SEND and pastoral support, contributing to an inclusive culture of high expectations, positive relationships and excellent outcomes for all students.</w:t>
      </w:r>
    </w:p>
    <w:p>
      <w:pPr>
        <w:pStyle w:val="Normal"/>
        <w:pBdr/>
        <w:rPr>
          <w:rFonts w:ascii="Calibri" w:hAnsi="Calibri" w:eastAsia="Century Gothic" w:cs="Calibri"/>
          <w:sz w:val="21"/>
          <w:szCs w:val="21"/>
        </w:rPr>
      </w:pPr>
      <w:r>
        <w:rPr>
          <w:rFonts w:eastAsia="Century Gothic" w:cs="Calibri" w:ascii="Calibri" w:hAnsi="Calibri"/>
          <w:sz w:val="21"/>
          <w:szCs w:val="21"/>
        </w:rPr>
      </w:r>
    </w:p>
    <w:p>
      <w:pPr>
        <w:pStyle w:val="Normal"/>
        <w:pBdr/>
        <w:rPr>
          <w:rFonts w:ascii="Calibri" w:hAnsi="Calibri" w:eastAsia="Century Gothic" w:cs="Calibri"/>
          <w:sz w:val="22"/>
          <w:szCs w:val="22"/>
        </w:rPr>
      </w:pPr>
      <w:r>
        <w:rPr/>
        <w:drawing>
          <wp:inline distT="0" distB="0" distL="0" distR="0">
            <wp:extent cx="6294755" cy="17272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" t="-140" r="-4" b="-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keepNext w:val="false"/>
        <w:keepLines w:val="false"/>
        <w:spacing w:before="0" w:after="80"/>
        <w:jc w:val="both"/>
        <w:rPr>
          <w:rFonts w:ascii="Calibri" w:hAnsi="Calibri" w:eastAsia="Century Gothic" w:cs="Calibri"/>
          <w:sz w:val="22"/>
          <w:szCs w:val="22"/>
        </w:rPr>
      </w:pPr>
      <w:bookmarkStart w:id="0" w:name="_heading=h.gfskrkbdjhu5"/>
      <w:bookmarkEnd w:id="0"/>
      <w:r>
        <w:rPr>
          <w:rFonts w:eastAsia="Century Gothic" w:cs="Calibri" w:ascii="Calibri" w:hAnsi="Calibri"/>
          <w:sz w:val="22"/>
          <w:szCs w:val="22"/>
        </w:rPr>
        <w:t>1. Supporting Students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b/>
          <w:b/>
          <w:bCs/>
          <w:sz w:val="22"/>
          <w:szCs w:val="22"/>
        </w:rPr>
      </w:pPr>
      <w:r>
        <w:rPr>
          <w:rFonts w:eastAsia="Century Gothic" w:cs="Calibri" w:ascii="Calibri" w:hAnsi="Calibri"/>
          <w:b/>
          <w:bCs/>
          <w:sz w:val="22"/>
          <w:szCs w:val="22"/>
        </w:rPr>
        <w:t>The TA2 will:</w:t>
      </w:r>
    </w:p>
    <w:p>
      <w:pPr>
        <w:pStyle w:val="Normal"/>
        <w:numPr>
          <w:ilvl w:val="0"/>
          <w:numId w:val="15"/>
        </w:numPr>
        <w:spacing w:before="220" w:after="0"/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Provide tailored support for students, including those with SEND, SEMH, medical or physical needs, ensuring access to learning and safety at all times.</w:t>
      </w:r>
    </w:p>
    <w:p>
      <w:pPr>
        <w:pStyle w:val="Normal"/>
        <w:numPr>
          <w:ilvl w:val="0"/>
          <w:numId w:val="15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Support students to overcome barriers to learning, wellbeing or behaviour.</w:t>
      </w:r>
    </w:p>
    <w:p>
      <w:pPr>
        <w:pStyle w:val="Normal"/>
        <w:numPr>
          <w:ilvl w:val="0"/>
          <w:numId w:val="15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Assist with the development and delivery of Individual Education Plans, Behaviour Plans, Personal Care Plans and Provision Maps.</w:t>
      </w:r>
    </w:p>
    <w:p>
      <w:pPr>
        <w:pStyle w:val="Normal"/>
        <w:numPr>
          <w:ilvl w:val="0"/>
          <w:numId w:val="15"/>
        </w:numPr>
        <w:jc w:val="both"/>
        <w:rPr/>
      </w:pPr>
      <w:r>
        <w:rPr>
          <w:rFonts w:eastAsia="Century Gothic" w:cs="Calibri" w:ascii="Calibri" w:hAnsi="Calibri"/>
          <w:sz w:val="22"/>
          <w:szCs w:val="22"/>
        </w:rPr>
        <w:t>Promote inclusion, participation, independence and self</w:t>
      </w:r>
      <w:r>
        <w:rPr>
          <w:rFonts w:eastAsia="Century Gothic" w:cs="Cambria Math" w:ascii="Cambria Math" w:hAnsi="Cambria Math"/>
          <w:sz w:val="22"/>
          <w:szCs w:val="22"/>
        </w:rPr>
        <w:noBreakHyphen/>
      </w:r>
      <w:r>
        <w:rPr>
          <w:rFonts w:eastAsia="Century Gothic" w:cs="Calibri" w:ascii="Calibri" w:hAnsi="Calibri"/>
          <w:sz w:val="22"/>
          <w:szCs w:val="22"/>
        </w:rPr>
        <w:t>esteem for all students.</w:t>
      </w:r>
    </w:p>
    <w:p>
      <w:pPr>
        <w:pStyle w:val="Normal"/>
        <w:numPr>
          <w:ilvl w:val="0"/>
          <w:numId w:val="15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Provide constructive feedback to students on progress and learning.</w:t>
      </w:r>
    </w:p>
    <w:p>
      <w:pPr>
        <w:pStyle w:val="Normal"/>
        <w:numPr>
          <w:ilvl w:val="0"/>
          <w:numId w:val="15"/>
        </w:numPr>
        <w:spacing w:before="0" w:after="220"/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Encourage positive relationships, social development and cooperative learning.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b/>
          <w:b/>
          <w:bCs/>
          <w:sz w:val="22"/>
          <w:szCs w:val="22"/>
        </w:rPr>
      </w:pPr>
      <w:r>
        <w:rPr>
          <w:rFonts w:eastAsia="Century Gothic" w:cs="Calibri" w:ascii="Calibri" w:hAnsi="Calibri"/>
          <w:b/>
          <w:bCs/>
          <w:sz w:val="22"/>
          <w:szCs w:val="22"/>
        </w:rPr>
        <w:t>2. Supporting Teaching &amp; Learning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b/>
          <w:b/>
          <w:bCs/>
          <w:sz w:val="22"/>
          <w:szCs w:val="22"/>
        </w:rPr>
      </w:pPr>
      <w:r>
        <w:rPr>
          <w:rFonts w:eastAsia="Century Gothic" w:cs="Calibri" w:ascii="Calibri" w:hAnsi="Calibri"/>
          <w:b/>
          <w:bCs/>
          <w:sz w:val="22"/>
          <w:szCs w:val="22"/>
        </w:rPr>
        <w:t>The TA2 will:</w:t>
      </w:r>
    </w:p>
    <w:p>
      <w:pPr>
        <w:pStyle w:val="Normal"/>
        <w:numPr>
          <w:ilvl w:val="0"/>
          <w:numId w:val="7"/>
        </w:numPr>
        <w:spacing w:before="220" w:after="0"/>
        <w:jc w:val="both"/>
        <w:rPr/>
      </w:pPr>
      <w:r>
        <w:rPr>
          <w:rFonts w:eastAsia="Century Gothic" w:cs="Calibri" w:ascii="Calibri" w:hAnsi="Calibri"/>
          <w:sz w:val="22"/>
          <w:szCs w:val="22"/>
        </w:rPr>
        <w:t>Work collaboratively with classroom teachers to provide high</w:t>
      </w:r>
      <w:r>
        <w:rPr>
          <w:rFonts w:eastAsia="Century Gothic" w:cs="Cambria Math" w:ascii="Cambria Math" w:hAnsi="Cambria Math"/>
          <w:sz w:val="22"/>
          <w:szCs w:val="22"/>
        </w:rPr>
        <w:noBreakHyphen/>
      </w:r>
      <w:r>
        <w:rPr>
          <w:rFonts w:eastAsia="Century Gothic" w:cs="Calibri" w:ascii="Calibri" w:hAnsi="Calibri"/>
          <w:sz w:val="22"/>
          <w:szCs w:val="22"/>
        </w:rPr>
        <w:t>quality learning support.</w:t>
      </w:r>
    </w:p>
    <w:p>
      <w:pPr>
        <w:pStyle w:val="Normal"/>
        <w:numPr>
          <w:ilvl w:val="0"/>
          <w:numId w:val="7"/>
        </w:numPr>
        <w:jc w:val="both"/>
        <w:rPr/>
      </w:pPr>
      <w:r>
        <w:rPr>
          <w:rFonts w:eastAsia="Century Gothic" w:cs="Calibri" w:ascii="Calibri" w:hAnsi="Calibri"/>
          <w:sz w:val="22"/>
          <w:szCs w:val="22"/>
        </w:rPr>
        <w:t>Deliver small</w:t>
      </w:r>
      <w:r>
        <w:rPr>
          <w:rFonts w:eastAsia="Century Gothic" w:cs="Cambria Math" w:ascii="Cambria Math" w:hAnsi="Cambria Math"/>
          <w:sz w:val="22"/>
          <w:szCs w:val="22"/>
        </w:rPr>
        <w:noBreakHyphen/>
      </w:r>
      <w:r>
        <w:rPr>
          <w:rFonts w:eastAsia="Century Gothic" w:cs="Calibri" w:ascii="Calibri" w:hAnsi="Calibri"/>
          <w:sz w:val="22"/>
          <w:szCs w:val="22"/>
        </w:rPr>
        <w:t>group and 1:1 interventions using agreed programmes (e.g., literacy, numeracy, learning skills).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Plan and prepare structured learning activities under teacher guidance.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Adjust tasks and support based on student responses and individual needs.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Support effective use of ICT to promote independent learning.</w:t>
      </w:r>
    </w:p>
    <w:p>
      <w:pPr>
        <w:pStyle w:val="Normal"/>
        <w:numPr>
          <w:ilvl w:val="0"/>
          <w:numId w:val="7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Help create and maintain a purposeful, safe and supportive classroom environment.</w:t>
      </w:r>
    </w:p>
    <w:p>
      <w:pPr>
        <w:pStyle w:val="Normal"/>
        <w:numPr>
          <w:ilvl w:val="0"/>
          <w:numId w:val="7"/>
        </w:numPr>
        <w:spacing w:before="0" w:after="220"/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Assist with supervision of tests, basic marking and assessment administration.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b/>
          <w:b/>
          <w:bCs/>
          <w:sz w:val="22"/>
          <w:szCs w:val="22"/>
        </w:rPr>
      </w:pPr>
      <w:r>
        <w:rPr>
          <w:rFonts w:eastAsia="Century Gothic" w:cs="Calibri" w:ascii="Calibri" w:hAnsi="Calibri"/>
          <w:b/>
          <w:bCs/>
          <w:sz w:val="22"/>
          <w:szCs w:val="22"/>
        </w:rPr>
        <w:t>3. Behaviour, Safeguarding &amp; Pastoral Support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b/>
          <w:b/>
          <w:bCs/>
          <w:sz w:val="22"/>
          <w:szCs w:val="22"/>
        </w:rPr>
      </w:pPr>
      <w:r>
        <w:rPr>
          <w:rFonts w:eastAsia="Century Gothic" w:cs="Calibri" w:ascii="Calibri" w:hAnsi="Calibri"/>
          <w:b/>
          <w:bCs/>
          <w:sz w:val="22"/>
          <w:szCs w:val="22"/>
        </w:rPr>
        <w:t>The TA2 will:</w:t>
      </w:r>
    </w:p>
    <w:p>
      <w:pPr>
        <w:pStyle w:val="Normal"/>
        <w:numPr>
          <w:ilvl w:val="0"/>
          <w:numId w:val="6"/>
        </w:numPr>
        <w:spacing w:before="220" w:after="0"/>
        <w:jc w:val="both"/>
        <w:rPr/>
      </w:pPr>
      <w:r>
        <w:rPr>
          <w:rFonts w:eastAsia="Century Gothic" w:cs="Calibri" w:ascii="Calibri" w:hAnsi="Calibri"/>
          <w:sz w:val="22"/>
          <w:szCs w:val="22"/>
        </w:rPr>
        <w:t>Promote positive behaviour, using relational practice, de</w:t>
      </w:r>
      <w:r>
        <w:rPr>
          <w:rFonts w:eastAsia="Century Gothic" w:cs="Cambria Math" w:ascii="Cambria Math" w:hAnsi="Cambria Math"/>
          <w:sz w:val="22"/>
          <w:szCs w:val="22"/>
        </w:rPr>
        <w:noBreakHyphen/>
      </w:r>
      <w:r>
        <w:rPr>
          <w:rFonts w:eastAsia="Century Gothic" w:cs="Calibri" w:ascii="Calibri" w:hAnsi="Calibri"/>
          <w:sz w:val="22"/>
          <w:szCs w:val="22"/>
        </w:rPr>
        <w:t>escalation and restorative approaches.</w:t>
      </w:r>
    </w:p>
    <w:p>
      <w:pPr>
        <w:pStyle w:val="Normal"/>
        <w:numPr>
          <w:ilvl w:val="0"/>
          <w:numId w:val="6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Respond promptly to behaviour concerns following school policy.</w:t>
      </w:r>
    </w:p>
    <w:p>
      <w:pPr>
        <w:pStyle w:val="Normal"/>
        <w:numPr>
          <w:ilvl w:val="0"/>
          <w:numId w:val="6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Build positive relationships with families and contribute to pastoral communication.</w:t>
      </w:r>
    </w:p>
    <w:p>
      <w:pPr>
        <w:pStyle w:val="Normal"/>
        <w:numPr>
          <w:ilvl w:val="0"/>
          <w:numId w:val="6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Supervise students at break, lunchtime, transitions and start/end of the school day.</w:t>
      </w:r>
    </w:p>
    <w:p>
      <w:pPr>
        <w:pStyle w:val="Normal"/>
        <w:numPr>
          <w:ilvl w:val="0"/>
          <w:numId w:val="6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Follow safeguarding and child protection procedures, reporting concerns immediately.</w:t>
      </w:r>
    </w:p>
    <w:p>
      <w:pPr>
        <w:pStyle w:val="Normal"/>
        <w:numPr>
          <w:ilvl w:val="0"/>
          <w:numId w:val="6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Support students’ emotional wellbeing and act as a trusted adult where appropriate.</w:t>
      </w:r>
    </w:p>
    <w:p>
      <w:pPr>
        <w:pStyle w:val="Normal"/>
        <w:numPr>
          <w:ilvl w:val="0"/>
          <w:numId w:val="6"/>
        </w:numPr>
        <w:spacing w:lineRule="auto" w:line="276" w:before="0" w:after="220"/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Support attendance and engagement strategies for identified students, liaising with pastoral staff as appropriate.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b/>
          <w:b/>
          <w:bCs/>
          <w:sz w:val="22"/>
          <w:szCs w:val="22"/>
        </w:rPr>
      </w:pPr>
      <w:r>
        <w:rPr>
          <w:rFonts w:eastAsia="Century Gothic" w:cs="Calibri" w:ascii="Calibri" w:hAnsi="Calibri"/>
          <w:b/>
          <w:bCs/>
          <w:sz w:val="22"/>
          <w:szCs w:val="22"/>
        </w:rPr>
        <w:t>4. Curriculum and Intervention Support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b/>
          <w:b/>
          <w:bCs/>
          <w:sz w:val="22"/>
          <w:szCs w:val="22"/>
        </w:rPr>
      </w:pPr>
      <w:r>
        <w:rPr>
          <w:rFonts w:eastAsia="Century Gothic" w:cs="Calibri" w:ascii="Calibri" w:hAnsi="Calibri"/>
          <w:b/>
          <w:bCs/>
          <w:sz w:val="22"/>
          <w:szCs w:val="22"/>
        </w:rPr>
        <w:t>The TA2 will:</w:t>
      </w:r>
    </w:p>
    <w:p>
      <w:pPr>
        <w:pStyle w:val="Normal"/>
        <w:numPr>
          <w:ilvl w:val="0"/>
          <w:numId w:val="16"/>
        </w:numPr>
        <w:spacing w:before="220" w:after="0"/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Deliver or support structured intervention groups linked to literacy, numeracy and National Curriculum areas.</w:t>
      </w:r>
    </w:p>
    <w:p>
      <w:pPr>
        <w:pStyle w:val="Normal"/>
        <w:numPr>
          <w:ilvl w:val="0"/>
          <w:numId w:val="16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Support disadvantaged and vulnerable students to help narrow the attainment gap.</w:t>
      </w:r>
    </w:p>
    <w:p>
      <w:pPr>
        <w:pStyle w:val="Normal"/>
        <w:numPr>
          <w:ilvl w:val="0"/>
          <w:numId w:val="16"/>
        </w:numPr>
        <w:jc w:val="both"/>
        <w:rPr/>
      </w:pPr>
      <w:r>
        <w:rPr>
          <w:rFonts w:eastAsia="Century Gothic" w:cs="Calibri" w:ascii="Calibri" w:hAnsi="Calibri"/>
          <w:sz w:val="22"/>
          <w:szCs w:val="22"/>
        </w:rPr>
        <w:t>Support whole</w:t>
      </w:r>
      <w:r>
        <w:rPr>
          <w:rFonts w:eastAsia="Century Gothic" w:cs="Cambria Math" w:ascii="Cambria Math" w:hAnsi="Cambria Math"/>
          <w:sz w:val="22"/>
          <w:szCs w:val="22"/>
        </w:rPr>
        <w:noBreakHyphen/>
      </w:r>
      <w:r>
        <w:rPr>
          <w:rFonts w:eastAsia="Century Gothic" w:cs="Calibri" w:ascii="Calibri" w:hAnsi="Calibri"/>
          <w:sz w:val="22"/>
          <w:szCs w:val="22"/>
        </w:rPr>
        <w:t>school strategies for reading, vocabulary and independent learning.</w:t>
      </w:r>
    </w:p>
    <w:p>
      <w:pPr>
        <w:pStyle w:val="Normal"/>
        <w:numPr>
          <w:ilvl w:val="0"/>
          <w:numId w:val="16"/>
        </w:numPr>
        <w:spacing w:before="0" w:after="220"/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Prepare resources and equipment to support teaching and learning.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b/>
          <w:b/>
          <w:bCs/>
          <w:sz w:val="22"/>
          <w:szCs w:val="22"/>
        </w:rPr>
      </w:pPr>
      <w:r>
        <w:rPr>
          <w:rFonts w:eastAsia="Century Gothic" w:cs="Calibri" w:ascii="Calibri" w:hAnsi="Calibri"/>
          <w:b/>
          <w:bCs/>
          <w:sz w:val="22"/>
          <w:szCs w:val="22"/>
        </w:rPr>
        <w:t>5. Supporting Teachers &amp; Colleagues</w:t>
      </w:r>
    </w:p>
    <w:p>
      <w:pPr>
        <w:pStyle w:val="Normal"/>
        <w:spacing w:before="220" w:after="220"/>
        <w:jc w:val="both"/>
        <w:rPr>
          <w:rFonts w:ascii="Calibri" w:hAnsi="Calibri" w:eastAsia="Century Gothic" w:cs="Calibri"/>
          <w:b/>
          <w:b/>
          <w:bCs/>
          <w:sz w:val="22"/>
          <w:szCs w:val="22"/>
        </w:rPr>
      </w:pPr>
      <w:r>
        <w:rPr>
          <w:rFonts w:eastAsia="Century Gothic" w:cs="Calibri" w:ascii="Calibri" w:hAnsi="Calibri"/>
          <w:b/>
          <w:bCs/>
          <w:sz w:val="22"/>
          <w:szCs w:val="22"/>
        </w:rPr>
        <w:t>The TA2 will:</w:t>
      </w:r>
    </w:p>
    <w:p>
      <w:pPr>
        <w:pStyle w:val="Normal"/>
        <w:numPr>
          <w:ilvl w:val="0"/>
          <w:numId w:val="4"/>
        </w:numPr>
        <w:spacing w:before="220" w:after="0"/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Maintain accurate student records as directed.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Provide regular updates to teachers, SEND colleagues and pastoral teams.</w:t>
      </w:r>
    </w:p>
    <w:p>
      <w:pPr>
        <w:pStyle w:val="Normal"/>
        <w:numPr>
          <w:ilvl w:val="0"/>
          <w:numId w:val="4"/>
        </w:numPr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Support with classroom administration, resource preparation and organisation.</w:t>
      </w:r>
    </w:p>
    <w:p>
      <w:pPr>
        <w:pStyle w:val="Normal"/>
        <w:numPr>
          <w:ilvl w:val="0"/>
          <w:numId w:val="4"/>
        </w:numPr>
        <w:spacing w:before="0" w:after="220"/>
        <w:jc w:val="both"/>
        <w:rPr>
          <w:rFonts w:ascii="Calibri" w:hAnsi="Calibri" w:eastAsia="Century Gothic" w:cs="Calibri"/>
          <w:sz w:val="22"/>
          <w:szCs w:val="22"/>
        </w:rPr>
      </w:pPr>
      <w:r>
        <w:rPr>
          <w:rFonts w:eastAsia="Century Gothic" w:cs="Calibri" w:ascii="Calibri" w:hAnsi="Calibri"/>
          <w:sz w:val="22"/>
          <w:szCs w:val="22"/>
        </w:rPr>
        <w:t>Communicate effectively and professionally with all stakeholders.</w:t>
      </w:r>
    </w:p>
    <w:p>
      <w:pPr>
        <w:pStyle w:val="Normal"/>
        <w:pBdr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1" allowOverlap="1" relativeHeight="6">
                <wp:simplePos x="0" y="0"/>
                <wp:positionH relativeFrom="column">
                  <wp:posOffset>-8890</wp:posOffset>
                </wp:positionH>
                <wp:positionV relativeFrom="paragraph">
                  <wp:posOffset>173355</wp:posOffset>
                </wp:positionV>
                <wp:extent cx="6243320" cy="177800"/>
                <wp:effectExtent l="0" t="0" r="0" b="0"/>
                <wp:wrapTopAndBottom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760" cy="177120"/>
                        </a:xfrm>
                        <a:prstGeom prst="rect">
                          <a:avLst/>
                        </a:prstGeom>
                        <a:solidFill>
                          <a:srgbClr val="2e3192"/>
                        </a:solidFill>
                        <a:ln w="9360">
                          <a:solidFill>
                            <a:srgbClr val="2e319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2e3192" stroked="t" style="position:absolute;margin-left:-0.7pt;margin-top:13.65pt;width:491.5pt;height:13.9pt" type="shapetype_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kern w:val="2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w10:wrap type="none"/>
                <v:fill o:detectmouseclick="t" type="solid" color2="#d1ce6d"/>
                <v:stroke color="#2e3192" weight="9360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0" simplePos="0" locked="0" layoutInCell="1" allowOverlap="1" relativeHeight="10">
                <wp:simplePos x="0" y="0"/>
                <wp:positionH relativeFrom="column">
                  <wp:posOffset>-8890</wp:posOffset>
                </wp:positionH>
                <wp:positionV relativeFrom="paragraph">
                  <wp:posOffset>173355</wp:posOffset>
                </wp:positionV>
                <wp:extent cx="6242685" cy="177165"/>
                <wp:effectExtent l="0" t="0" r="0" b="0"/>
                <wp:wrapNone/>
                <wp:docPr id="9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685" cy="17716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ind w:left="103" w:right="0" w:hanging="0"/>
                              <w:rPr>
                                <w:rFonts w:ascii="Arial" w:hAnsi="Arial" w:eastAsia="Arial" w:cs="Arial"/>
                                <w:b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color w:val="FFFFFF"/>
                              </w:rPr>
                              <w:t>General requirements</w:t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491.55pt;height:13.95pt;mso-wrap-distance-left:0pt;mso-wrap-distance-right:0pt;mso-wrap-distance-top:5.7pt;mso-wrap-distance-bottom:5.7pt;margin-top:13.65pt;mso-position-vertical-relative:text;margin-left:-0.7pt;mso-position-horizontal-relative:text">
                <v:textbox inset="0.000694444444444444in,0.000694444444444444in,0.000694444444444444in,0.000694444444444444in">
                  <w:txbxContent>
                    <w:p>
                      <w:pPr>
                        <w:pStyle w:val="FrameContents"/>
                        <w:ind w:left="103" w:right="0" w:hanging="0"/>
                        <w:rPr>
                          <w:rFonts w:ascii="Arial" w:hAnsi="Arial" w:eastAsia="Arial" w:cs="Arial"/>
                          <w:b/>
                          <w:b/>
                          <w:color w:val="FFFFFF"/>
                        </w:rPr>
                      </w:pPr>
                      <w:r>
                        <w:rPr>
                          <w:rFonts w:eastAsia="Arial" w:cs="Arial" w:ascii="Arial" w:hAnsi="Arial"/>
                          <w:b/>
                          <w:color w:val="FFFFFF"/>
                        </w:rPr>
                        <w:t>General requirements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pBdr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 xml:space="preserve">Promote and safeguard the welfare of all students 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 xml:space="preserve">Support the school’s ethos, values and expectations 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 xml:space="preserve">Maintain high standards of professionalism, conduct and presentation 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 xml:space="preserve">Work in accordance with school policies, including safeguarding and health and safety 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 xml:space="preserve">Engage in training, CPD and appraisal processes 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 xml:space="preserve">Support supervision and school activities where required 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 xml:space="preserve">Act as a First Aider (where trained) </w:t>
      </w:r>
    </w:p>
    <w:p>
      <w:pPr>
        <w:pStyle w:val="Normal"/>
        <w:numPr>
          <w:ilvl w:val="0"/>
          <w:numId w:val="9"/>
        </w:numPr>
        <w:pBdr/>
        <w:jc w:val="both"/>
        <w:rPr/>
      </w:pPr>
      <w:r>
        <w:rPr>
          <w:rFonts w:eastAsia="Century Gothic" w:cs="Calibri" w:ascii="Calibri" w:hAnsi="Calibri"/>
          <w:color w:val="000000"/>
          <w:sz w:val="22"/>
          <w:szCs w:val="22"/>
        </w:rPr>
        <w:t xml:space="preserve">Undertake any reasonable duties as requested by the Headteacher or Senior Leadership </w:t>
      </w:r>
      <w:r>
        <w:rPr>
          <w:rFonts w:eastAsia="Century Gothic" w:cs="Calibri" w:ascii="Calibri" w:hAnsi="Calibri"/>
          <w:sz w:val="22"/>
          <w:szCs w:val="22"/>
        </w:rPr>
        <w:t>Team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You must promote and safeguard the welfare of children, young and vulnerable people that you are responsible for or come into contact with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Responsibility for safeguarding and protecting the welfare of all students, being cognisant of the Safeguarding and Child Protection Policy and related procedures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Carry out all duties regarding the school’s policies and in compliance with the Trust’s Equal Opportunities, Health &amp; Safety and Code of Conduct procedures.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Undertake necessary training associated with the post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Ensure that duties and responsibilities are carried out in accordance with School policies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Maintain confidentiality of information acquired in the course of undertaking duties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Be a role model for pupils and staff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Attend meetings, training sessions, after-school events and courses as required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Comply with health and safety procedures, information and resources in line with school policy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Undertake any reasonable duties as requested by the Headteacher or nominated delegate</w:t>
      </w:r>
    </w:p>
    <w:p>
      <w:pPr>
        <w:pStyle w:val="Normal"/>
        <w:numPr>
          <w:ilvl w:val="0"/>
          <w:numId w:val="9"/>
        </w:numPr>
        <w:pBdr/>
        <w:jc w:val="both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  <w:t>Maintain a positive ethos</w:t>
      </w:r>
    </w:p>
    <w:p>
      <w:pPr>
        <w:pStyle w:val="Normal"/>
        <w:pBdr/>
        <w:ind w:left="528" w:right="0" w:hanging="0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</w:r>
    </w:p>
    <w:p>
      <w:pPr>
        <w:pStyle w:val="Normal"/>
        <w:widowControl w:val="false"/>
        <w:pBdr/>
        <w:ind w:left="888" w:right="0" w:hanging="360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</w:r>
    </w:p>
    <w:p>
      <w:pPr>
        <w:pStyle w:val="Normal"/>
        <w:pBdr/>
        <w:rPr>
          <w:rFonts w:ascii="Calibri" w:hAnsi="Calibri" w:eastAsia="Century Gothic" w:cs="Calibri"/>
          <w:b/>
          <w:b/>
          <w:bCs/>
          <w:color w:val="5E5E5E"/>
          <w:sz w:val="22"/>
          <w:szCs w:val="22"/>
        </w:rPr>
      </w:pPr>
      <w:r>
        <w:rPr>
          <w:rFonts w:eastAsia="Century Gothic" w:cs="Calibri" w:ascii="Calibri" w:hAnsi="Calibri"/>
          <w:b/>
          <w:bCs/>
          <w:color w:val="5E5E5E"/>
          <w:sz w:val="22"/>
          <w:szCs w:val="22"/>
        </w:rPr>
        <w:t>TEACHING ASSISTANT LEVEL 2</w:t>
      </w:r>
    </w:p>
    <w:p>
      <w:pPr>
        <w:pStyle w:val="Normal"/>
        <w:pBdr/>
        <w:rPr>
          <w:rFonts w:ascii="Calibri" w:hAnsi="Calibri" w:eastAsia="Century Gothic" w:cs="Calibri"/>
          <w:b/>
          <w:b/>
          <w:bCs/>
          <w:color w:val="5E5E5E"/>
          <w:sz w:val="22"/>
          <w:szCs w:val="22"/>
        </w:rPr>
      </w:pPr>
      <w:r>
        <w:rPr>
          <w:rFonts w:eastAsia="Century Gothic" w:cs="Calibri" w:ascii="Calibri" w:hAnsi="Calibri"/>
          <w:b/>
          <w:bCs/>
          <w:color w:val="5E5E5E"/>
          <w:sz w:val="22"/>
          <w:szCs w:val="22"/>
        </w:rPr>
        <w:t>JOB DESCRIPTION AND PERSON SPECIFICATION</w:t>
      </w:r>
    </w:p>
    <w:tbl>
      <w:tblPr>
        <w:tblW w:w="964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7"/>
        <w:gridCol w:w="2136"/>
      </w:tblGrid>
      <w:tr>
        <w:trPr/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365F91" w:val="clear"/>
          </w:tcPr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FFFFFF"/>
              </w:rPr>
            </w:pPr>
            <w:r>
              <w:rPr>
                <w:rFonts w:eastAsia="Century Gothic" w:cs="Calibri" w:ascii="Calibri" w:hAnsi="Calibri"/>
                <w:b/>
                <w:bCs/>
                <w:color w:val="FFFFFF"/>
              </w:rPr>
              <w:t>Minimum Requirements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365F91" w:val="clear"/>
          </w:tcPr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FFFFFF"/>
              </w:rPr>
            </w:pPr>
            <w:r>
              <w:rPr>
                <w:rFonts w:eastAsia="Century Gothic" w:cs="Calibri" w:ascii="Calibri" w:hAnsi="Calibri"/>
                <w:b/>
                <w:bCs/>
                <w:color w:val="FFFFFF"/>
              </w:rPr>
              <w:t>Measured by: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FFFFFF"/>
              </w:rPr>
            </w:pPr>
            <w:r>
              <w:rPr>
                <w:rFonts w:eastAsia="Century Gothic" w:cs="Calibri" w:ascii="Calibri" w:hAnsi="Calibri"/>
                <w:b/>
                <w:bCs/>
                <w:color w:val="FFFFFF"/>
              </w:rPr>
              <w:t>A) Application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FFFFFF"/>
              </w:rPr>
            </w:pPr>
            <w:r>
              <w:rPr>
                <w:rFonts w:eastAsia="Century Gothic" w:cs="Calibri" w:ascii="Calibri" w:hAnsi="Calibri"/>
                <w:b/>
                <w:bCs/>
                <w:color w:val="FFFFFF"/>
              </w:rPr>
              <w:t>B) Test/Exercise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FFFFFF"/>
              </w:rPr>
            </w:pPr>
            <w:r>
              <w:rPr>
                <w:rFonts w:eastAsia="Century Gothic" w:cs="Calibri" w:ascii="Calibri" w:hAnsi="Calibri"/>
                <w:b/>
                <w:bCs/>
                <w:color w:val="FFFFFF"/>
              </w:rPr>
              <w:t>C) Interview</w:t>
            </w:r>
          </w:p>
        </w:tc>
      </w:tr>
      <w:tr>
        <w:trPr>
          <w:trHeight w:val="2087" w:hRule="atLeast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QUALIFICATIONS/TRAINING: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It is essential that the post holder is:</w:t>
            </w:r>
          </w:p>
          <w:p>
            <w:pPr>
              <w:pStyle w:val="Normal"/>
              <w:numPr>
                <w:ilvl w:val="0"/>
                <w:numId w:val="8"/>
              </w:numPr>
              <w:spacing w:before="220" w:after="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GCSE English and Maths (Grade C/4+ or equivalent).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Experience working with Pupils within Key Stage 2  in an educational setting.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Understanding of safeguarding policies and child protection practice.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Experience supporting students with SEND or additional needs.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Understanding of behaviour management strategies and relational practice.</w:t>
            </w:r>
          </w:p>
          <w:p>
            <w:pPr>
              <w:pStyle w:val="Normal"/>
              <w:numPr>
                <w:ilvl w:val="0"/>
                <w:numId w:val="8"/>
              </w:numPr>
              <w:spacing w:before="0" w:after="22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Good ICT skills and ability to support learning through technology.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It is desirable that the post holder has:</w:t>
            </w:r>
          </w:p>
          <w:p>
            <w:pPr>
              <w:pStyle w:val="Normal"/>
              <w:numPr>
                <w:ilvl w:val="0"/>
                <w:numId w:val="8"/>
              </w:numPr>
              <w:spacing w:before="220" w:after="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NVQ Level 2 or equivalent qualification in Supporting Teaching and Learning.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/>
            </w:pPr>
            <w:r>
              <w:rPr>
                <w:rFonts w:eastAsia="Century Gothic" w:cs="Calibri" w:ascii="Calibri" w:hAnsi="Calibri"/>
              </w:rPr>
              <w:t>Experience delivering small</w:t>
            </w:r>
            <w:r>
              <w:rPr>
                <w:rFonts w:eastAsia="Century Gothic" w:cs="Cambria Math" w:ascii="Cambria Math" w:hAnsi="Cambria Math"/>
              </w:rPr>
              <w:noBreakHyphen/>
            </w:r>
            <w:r>
              <w:rPr>
                <w:rFonts w:eastAsia="Century Gothic" w:cs="Calibri" w:ascii="Calibri" w:hAnsi="Calibri"/>
              </w:rPr>
              <w:t>group learning or interventions.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Knowledge of KS2 National Curriculum</w:t>
            </w:r>
          </w:p>
          <w:p>
            <w:pPr>
              <w:pStyle w:val="Normal"/>
              <w:numPr>
                <w:ilvl w:val="0"/>
                <w:numId w:val="8"/>
              </w:numPr>
              <w:pBdr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First Aid qualification or willingness to undertake training.</w:t>
            </w:r>
          </w:p>
          <w:p>
            <w:pPr>
              <w:pStyle w:val="Normal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  <w:t>A</w:t>
            </w:r>
          </w:p>
        </w:tc>
      </w:tr>
      <w:tr>
        <w:trPr>
          <w:trHeight w:val="983" w:hRule="atLeast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EXPERIENCE/KNOWLEDGE:</w:t>
            </w:r>
          </w:p>
          <w:p>
            <w:pPr>
              <w:pStyle w:val="Normal"/>
              <w:rPr/>
            </w:pPr>
            <w:r>
              <w:rPr>
                <w:rFonts w:eastAsia="Century Gothic" w:cs="Calibri" w:ascii="Calibri" w:hAnsi="Calibri"/>
                <w:b/>
                <w:bCs/>
              </w:rPr>
              <w:t>It is essential that the post holder has:</w:t>
            </w:r>
            <w:r>
              <w:rPr>
                <w:rFonts w:eastAsia="Century Gothic" w:cs="Calibri" w:ascii="Calibri" w:hAnsi="Calibri"/>
              </w:rPr>
              <w:t> </w:t>
            </w:r>
          </w:p>
          <w:p>
            <w:pPr>
              <w:pStyle w:val="Normal"/>
              <w:numPr>
                <w:ilvl w:val="0"/>
                <w:numId w:val="8"/>
              </w:numPr>
              <w:spacing w:before="220" w:after="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build positive, supportive relationships with pupils.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 xml:space="preserve">Confidence supporting literacy and numeracy learning across KS2 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Strong organisational and administrative skills.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differentiate and adapt support for varied needs.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Excellent communication with students, staff and families.</w:t>
            </w:r>
          </w:p>
          <w:p>
            <w:pPr>
              <w:pStyle w:val="Normal"/>
              <w:numPr>
                <w:ilvl w:val="0"/>
                <w:numId w:val="8"/>
              </w:numPr>
              <w:jc w:val="both"/>
              <w:rPr/>
            </w:pPr>
            <w:r>
              <w:rPr>
                <w:rFonts w:eastAsia="Century Gothic" w:cs="Calibri" w:ascii="Calibri" w:hAnsi="Calibri"/>
              </w:rPr>
              <w:t>Ability to use initiative, problem</w:t>
            </w:r>
            <w:r>
              <w:rPr>
                <w:rFonts w:eastAsia="Century Gothic" w:cs="Cambria Math" w:ascii="Cambria Math" w:hAnsi="Cambria Math"/>
              </w:rPr>
              <w:noBreakHyphen/>
            </w:r>
            <w:r>
              <w:rPr>
                <w:rFonts w:eastAsia="Century Gothic" w:cs="Calibri" w:ascii="Calibri" w:hAnsi="Calibri"/>
              </w:rPr>
              <w:t>solve and work proactively.</w:t>
            </w:r>
          </w:p>
          <w:p>
            <w:pPr>
              <w:pStyle w:val="Normal"/>
              <w:numPr>
                <w:ilvl w:val="0"/>
                <w:numId w:val="8"/>
              </w:numPr>
              <w:spacing w:before="0" w:after="22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maintain confidentiality and act with professionalism.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Desirable</w:t>
            </w:r>
          </w:p>
          <w:p>
            <w:pPr>
              <w:pStyle w:val="Normal"/>
              <w:numPr>
                <w:ilvl w:val="0"/>
                <w:numId w:val="10"/>
              </w:numPr>
              <w:spacing w:before="220" w:after="0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Understanding of SEND strategies and inclusion practices.</w:t>
            </w:r>
          </w:p>
          <w:p>
            <w:pPr>
              <w:pStyle w:val="Normal"/>
              <w:numPr>
                <w:ilvl w:val="0"/>
                <w:numId w:val="10"/>
              </w:numPr>
              <w:spacing w:before="0" w:after="220"/>
              <w:rPr/>
            </w:pPr>
            <w:r>
              <w:rPr>
                <w:rFonts w:eastAsia="Century Gothic" w:cs="Calibri" w:ascii="Calibri" w:hAnsi="Calibri"/>
              </w:rPr>
              <w:t>Awareness of intervention approaches and evidence</w:t>
            </w:r>
            <w:r>
              <w:rPr>
                <w:rFonts w:eastAsia="Century Gothic" w:cs="Cambria Math" w:ascii="Cambria Math" w:hAnsi="Cambria Math"/>
              </w:rPr>
              <w:noBreakHyphen/>
            </w:r>
            <w:r>
              <w:rPr>
                <w:rFonts w:eastAsia="Century Gothic" w:cs="Calibri" w:ascii="Calibri" w:hAnsi="Calibri"/>
              </w:rPr>
              <w:t>informed support models.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  <w:t>A, C</w:t>
            </w:r>
          </w:p>
        </w:tc>
      </w:tr>
      <w:tr>
        <w:trPr>
          <w:trHeight w:val="2117" w:hRule="atLeast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SKILLS AND ABILITIES: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 xml:space="preserve">It is essential that the post holder: </w:t>
            </w:r>
          </w:p>
          <w:p>
            <w:pPr>
              <w:pStyle w:val="Normal"/>
              <w:numPr>
                <w:ilvl w:val="0"/>
                <w:numId w:val="8"/>
              </w:numPr>
              <w:pBdr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Good organisational skills and attention to detail</w:t>
            </w:r>
          </w:p>
          <w:p>
            <w:pPr>
              <w:pStyle w:val="Normal"/>
              <w:numPr>
                <w:ilvl w:val="0"/>
                <w:numId w:val="8"/>
              </w:numPr>
              <w:pBdr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follow instructions accurately and safely</w:t>
            </w:r>
          </w:p>
          <w:p>
            <w:pPr>
              <w:pStyle w:val="Normal"/>
              <w:numPr>
                <w:ilvl w:val="0"/>
                <w:numId w:val="8"/>
              </w:numPr>
              <w:pBdr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manage time effectively and meet deadlines</w:t>
            </w:r>
          </w:p>
          <w:p>
            <w:pPr>
              <w:pStyle w:val="Normal"/>
              <w:numPr>
                <w:ilvl w:val="0"/>
                <w:numId w:val="8"/>
              </w:numPr>
              <w:pBdr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Good communication and interpersonal skills</w:t>
            </w:r>
          </w:p>
          <w:p>
            <w:pPr>
              <w:pStyle w:val="Normal"/>
              <w:numPr>
                <w:ilvl w:val="0"/>
                <w:numId w:val="8"/>
              </w:numPr>
              <w:pBdr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work flexibly as part of a team</w:t>
            </w:r>
          </w:p>
          <w:p>
            <w:pPr>
              <w:pStyle w:val="Normal"/>
              <w:numPr>
                <w:ilvl w:val="0"/>
                <w:numId w:val="8"/>
              </w:numPr>
              <w:pBdr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Basic ICT skills</w:t>
            </w:r>
          </w:p>
          <w:p>
            <w:pPr>
              <w:pStyle w:val="Normal"/>
              <w:ind w:left="720" w:right="0" w:hanging="0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It is desirable that the post holder has:</w:t>
            </w:r>
          </w:p>
          <w:p>
            <w:pPr>
              <w:pStyle w:val="Normal"/>
              <w:numPr>
                <w:ilvl w:val="0"/>
                <w:numId w:val="8"/>
              </w:numPr>
              <w:pBdr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Willingness to develop technical knowledge and skills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rPr>
                <w:rFonts w:eastAsia="Century Gothic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 xml:space="preserve">            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 xml:space="preserve">  </w:t>
            </w:r>
            <w:r>
              <w:rPr>
                <w:rFonts w:eastAsia="Century Gothic" w:cs="Calibri" w:ascii="Calibri" w:hAnsi="Calibri"/>
                <w:b/>
                <w:bCs/>
                <w:color w:val="000000"/>
              </w:rPr>
              <w:t>A &amp; C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</w:tc>
      </w:tr>
      <w:tr>
        <w:trPr>
          <w:trHeight w:val="2117" w:hRule="atLeast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PERSONAL QUALITIES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Essential:</w:t>
            </w:r>
          </w:p>
          <w:p>
            <w:pPr>
              <w:pStyle w:val="Normal"/>
              <w:numPr>
                <w:ilvl w:val="0"/>
                <w:numId w:val="11"/>
              </w:numPr>
              <w:spacing w:before="220" w:after="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Kindness, empathy and strong emotional intelligence when supporting learners.</w:t>
            </w:r>
          </w:p>
          <w:p>
            <w:pPr>
              <w:pStyle w:val="Normal"/>
              <w:numPr>
                <w:ilvl w:val="0"/>
                <w:numId w:val="11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Integrity, professionalism and high personal standards.</w:t>
            </w:r>
          </w:p>
          <w:p>
            <w:pPr>
              <w:pStyle w:val="Normal"/>
              <w:numPr>
                <w:ilvl w:val="0"/>
                <w:numId w:val="11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Resilience, reliability and a strong work ethic.</w:t>
            </w:r>
          </w:p>
          <w:p>
            <w:pPr>
              <w:pStyle w:val="Normal"/>
              <w:numPr>
                <w:ilvl w:val="0"/>
                <w:numId w:val="11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Approachability, warmth and the ability to remain calm under pressure.</w:t>
            </w:r>
          </w:p>
          <w:p>
            <w:pPr>
              <w:pStyle w:val="Normal"/>
              <w:numPr>
                <w:ilvl w:val="0"/>
                <w:numId w:val="11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Flexibility and willingness to adapt to changing needs.</w:t>
            </w:r>
          </w:p>
          <w:p>
            <w:pPr>
              <w:pStyle w:val="Normal"/>
              <w:numPr>
                <w:ilvl w:val="0"/>
                <w:numId w:val="11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Commitment to equality, diversity and inclusive practice.</w:t>
            </w:r>
          </w:p>
          <w:p>
            <w:pPr>
              <w:pStyle w:val="Normal"/>
              <w:numPr>
                <w:ilvl w:val="0"/>
                <w:numId w:val="11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Genuine enjoyment of working with young people and supporting their development.</w:t>
            </w:r>
          </w:p>
          <w:p>
            <w:pPr>
              <w:pStyle w:val="Normal"/>
              <w:numPr>
                <w:ilvl w:val="0"/>
                <w:numId w:val="11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inspire confidence and trust across the school community.</w:t>
            </w:r>
          </w:p>
          <w:p>
            <w:pPr>
              <w:pStyle w:val="Normal"/>
              <w:numPr>
                <w:ilvl w:val="0"/>
                <w:numId w:val="11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Reflective practitioner committed to continuous improvement and CPD.</w:t>
            </w:r>
          </w:p>
          <w:p>
            <w:pPr>
              <w:pStyle w:val="Normal"/>
              <w:numPr>
                <w:ilvl w:val="0"/>
                <w:numId w:val="11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High expectations for self and learners.</w:t>
            </w:r>
          </w:p>
          <w:p>
            <w:pPr>
              <w:pStyle w:val="Normal"/>
              <w:numPr>
                <w:ilvl w:val="0"/>
                <w:numId w:val="11"/>
              </w:numPr>
              <w:spacing w:before="0" w:after="22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Proven record of good attendance and punctuality.</w:t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Desirable:</w:t>
            </w:r>
          </w:p>
          <w:p>
            <w:pPr>
              <w:pStyle w:val="Normal"/>
              <w:numPr>
                <w:ilvl w:val="0"/>
                <w:numId w:val="12"/>
              </w:numPr>
              <w:spacing w:before="220" w:after="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Sense of humour and even temper.</w:t>
            </w:r>
          </w:p>
          <w:p>
            <w:pPr>
              <w:pStyle w:val="Normal"/>
              <w:numPr>
                <w:ilvl w:val="0"/>
                <w:numId w:val="12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Creativity in supporting engagement and learning.</w:t>
            </w:r>
          </w:p>
          <w:p>
            <w:pPr>
              <w:pStyle w:val="Normal"/>
              <w:numPr>
                <w:ilvl w:val="0"/>
                <w:numId w:val="12"/>
              </w:numPr>
              <w:jc w:val="both"/>
              <w:rPr/>
            </w:pPr>
            <w:r>
              <w:rPr>
                <w:rFonts w:eastAsia="Century Gothic" w:cs="Calibri" w:ascii="Calibri" w:hAnsi="Calibri"/>
              </w:rPr>
              <w:t>Personal ambition, self</w:t>
            </w:r>
            <w:r>
              <w:rPr>
                <w:rFonts w:eastAsia="Century Gothic" w:cs="Cambria Math" w:ascii="Cambria Math" w:hAnsi="Cambria Math"/>
              </w:rPr>
              <w:noBreakHyphen/>
            </w:r>
            <w:r>
              <w:rPr>
                <w:rFonts w:eastAsia="Century Gothic" w:cs="Calibri" w:ascii="Calibri" w:hAnsi="Calibri"/>
              </w:rPr>
              <w:t>discipline and initiative.</w:t>
            </w:r>
          </w:p>
          <w:p>
            <w:pPr>
              <w:pStyle w:val="Normal"/>
              <w:numPr>
                <w:ilvl w:val="0"/>
                <w:numId w:val="12"/>
              </w:numPr>
              <w:spacing w:before="0" w:after="22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Intellectual curiosity and commitment to ongoing learning.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color w:val="000000"/>
              </w:rPr>
            </w:pPr>
            <w:r>
              <w:rPr>
                <w:rFonts w:eastAsia="Century Gothic" w:cs="Calibri" w:ascii="Calibri" w:hAnsi="Calibri"/>
                <w:b/>
                <w:bCs/>
                <w:color w:val="000000"/>
              </w:rPr>
              <w:t>A, B ,C</w:t>
            </w:r>
          </w:p>
        </w:tc>
      </w:tr>
      <w:tr>
        <w:trPr>
          <w:trHeight w:val="2117" w:hRule="atLeast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220" w:after="220"/>
              <w:jc w:val="both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Communication Skills</w:t>
            </w:r>
          </w:p>
          <w:p>
            <w:pPr>
              <w:pStyle w:val="Heading3"/>
              <w:keepNext w:val="false"/>
              <w:keepLines w:val="false"/>
              <w:jc w:val="both"/>
              <w:rPr>
                <w:rFonts w:ascii="Calibri" w:hAnsi="Calibri" w:eastAsia="Century Gothic" w:cs="Calibri"/>
                <w:sz w:val="22"/>
                <w:szCs w:val="22"/>
              </w:rPr>
            </w:pPr>
            <w:bookmarkStart w:id="1" w:name="_heading=h.6wypbprve17b"/>
            <w:bookmarkEnd w:id="1"/>
            <w:r>
              <w:rPr>
                <w:rFonts w:eastAsia="Century Gothic" w:cs="Calibri" w:ascii="Calibri" w:hAnsi="Calibri"/>
                <w:sz w:val="22"/>
                <w:szCs w:val="22"/>
              </w:rPr>
              <w:t>Essential</w:t>
            </w:r>
          </w:p>
          <w:p>
            <w:pPr>
              <w:pStyle w:val="Normal"/>
              <w:numPr>
                <w:ilvl w:val="0"/>
                <w:numId w:val="3"/>
              </w:numPr>
              <w:spacing w:before="220" w:after="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communicate the school’s expectations clearly and consistently.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Confident written and verbal communication with students, staff and families.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22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provide clear explanations, feedback and modelling to support learning of students with additional needs.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/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entury Gothic" w:cs="Calibri" w:ascii="Calibri" w:hAnsi="Calibri"/>
                <w:b/>
                <w:bCs/>
              </w:rPr>
              <w:t>B &amp; C</w:t>
            </w:r>
          </w:p>
        </w:tc>
      </w:tr>
      <w:tr>
        <w:trPr>
          <w:trHeight w:val="2117" w:hRule="atLeast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220" w:after="220"/>
              <w:jc w:val="both"/>
              <w:rPr/>
            </w:pPr>
            <w:r>
              <w:rPr>
                <w:rFonts w:eastAsia="Century Gothic" w:cs="Calibri" w:ascii="Calibri" w:hAnsi="Calibri"/>
                <w:b/>
                <w:bCs/>
              </w:rPr>
              <w:t>Decision</w:t>
            </w:r>
            <w:r>
              <w:rPr>
                <w:rFonts w:eastAsia="Century Gothic" w:cs="Cambria Math" w:ascii="Cambria Math" w:hAnsi="Cambria Math"/>
                <w:b/>
                <w:bCs/>
              </w:rPr>
              <w:noBreakHyphen/>
            </w:r>
            <w:r>
              <w:rPr>
                <w:rFonts w:eastAsia="Century Gothic" w:cs="Calibri" w:ascii="Calibri" w:hAnsi="Calibri"/>
                <w:b/>
                <w:bCs/>
              </w:rPr>
              <w:t>Making Skills</w:t>
            </w:r>
          </w:p>
          <w:p>
            <w:pPr>
              <w:pStyle w:val="Heading3"/>
              <w:keepNext w:val="false"/>
              <w:keepLines w:val="false"/>
              <w:jc w:val="both"/>
              <w:rPr>
                <w:rFonts w:ascii="Calibri" w:hAnsi="Calibri" w:eastAsia="Century Gothic" w:cs="Calibri"/>
                <w:sz w:val="22"/>
                <w:szCs w:val="22"/>
              </w:rPr>
            </w:pPr>
            <w:bookmarkStart w:id="2" w:name="_heading=h.vexufys3es37"/>
            <w:bookmarkEnd w:id="2"/>
            <w:r>
              <w:rPr>
                <w:rFonts w:eastAsia="Century Gothic" w:cs="Calibri" w:ascii="Calibri" w:hAnsi="Calibri"/>
                <w:sz w:val="22"/>
                <w:szCs w:val="22"/>
              </w:rPr>
              <w:t>Essential</w:t>
            </w:r>
          </w:p>
          <w:p>
            <w:pPr>
              <w:pStyle w:val="Normal"/>
              <w:numPr>
                <w:ilvl w:val="0"/>
                <w:numId w:val="13"/>
              </w:numPr>
              <w:spacing w:before="220" w:after="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analyse information and identify appropriate next steps for student support.</w:t>
            </w:r>
          </w:p>
          <w:p>
            <w:pPr>
              <w:pStyle w:val="Normal"/>
              <w:numPr>
                <w:ilvl w:val="0"/>
                <w:numId w:val="13"/>
              </w:numPr>
              <w:spacing w:before="0" w:after="22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Evidence of sound judgement when responding to classroom challenges or pastoral concerns.</w:t>
            </w:r>
          </w:p>
          <w:p>
            <w:pPr>
              <w:pStyle w:val="Heading3"/>
              <w:keepNext w:val="false"/>
              <w:keepLines w:val="false"/>
              <w:jc w:val="both"/>
              <w:rPr>
                <w:rFonts w:ascii="Calibri" w:hAnsi="Calibri" w:eastAsia="Century Gothic" w:cs="Calibri"/>
                <w:sz w:val="22"/>
                <w:szCs w:val="22"/>
              </w:rPr>
            </w:pPr>
            <w:bookmarkStart w:id="3" w:name="_heading=h.bs4p1qugba3o"/>
            <w:bookmarkEnd w:id="3"/>
            <w:r>
              <w:rPr>
                <w:rFonts w:eastAsia="Century Gothic" w:cs="Calibri" w:ascii="Calibri" w:hAnsi="Calibri"/>
                <w:sz w:val="22"/>
                <w:szCs w:val="22"/>
              </w:rPr>
              <w:t>Desirable</w:t>
            </w:r>
          </w:p>
          <w:p>
            <w:pPr>
              <w:pStyle w:val="Normal"/>
              <w:numPr>
                <w:ilvl w:val="0"/>
                <w:numId w:val="17"/>
              </w:numPr>
              <w:spacing w:before="220" w:after="22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think creatively to anticipate and solve problems in support situations.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  <w:t>B &amp; C</w:t>
            </w:r>
          </w:p>
        </w:tc>
      </w:tr>
      <w:tr>
        <w:trPr>
          <w:trHeight w:val="2117" w:hRule="atLeast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="220" w:after="220"/>
              <w:jc w:val="both"/>
              <w:rPr/>
            </w:pPr>
            <w:r>
              <w:rPr>
                <w:rFonts w:eastAsia="Century Gothic" w:cs="Calibri" w:ascii="Calibri" w:hAnsi="Calibri"/>
                <w:b/>
                <w:bCs/>
              </w:rPr>
              <w:t>Self</w:t>
            </w:r>
            <w:r>
              <w:rPr>
                <w:rFonts w:eastAsia="Century Gothic" w:cs="Cambria Math" w:ascii="Cambria Math" w:hAnsi="Cambria Math"/>
                <w:b/>
                <w:bCs/>
              </w:rPr>
              <w:noBreakHyphen/>
            </w:r>
            <w:r>
              <w:rPr>
                <w:rFonts w:eastAsia="Century Gothic" w:cs="Calibri" w:ascii="Calibri" w:hAnsi="Calibri"/>
                <w:b/>
                <w:bCs/>
              </w:rPr>
              <w:t>Management &amp; Teamworking Skills</w:t>
            </w:r>
          </w:p>
          <w:p>
            <w:pPr>
              <w:pStyle w:val="Heading3"/>
              <w:keepNext w:val="false"/>
              <w:keepLines w:val="false"/>
              <w:spacing w:lineRule="auto" w:line="276"/>
              <w:jc w:val="both"/>
              <w:rPr>
                <w:rFonts w:ascii="Calibri" w:hAnsi="Calibri" w:eastAsia="Century Gothic" w:cs="Calibri"/>
                <w:sz w:val="22"/>
                <w:szCs w:val="22"/>
              </w:rPr>
            </w:pPr>
            <w:bookmarkStart w:id="4" w:name="_heading=h.fviuo64adhu4"/>
            <w:bookmarkEnd w:id="4"/>
            <w:r>
              <w:rPr>
                <w:rFonts w:eastAsia="Century Gothic" w:cs="Calibri" w:ascii="Calibri" w:hAnsi="Calibri"/>
                <w:sz w:val="22"/>
                <w:szCs w:val="22"/>
              </w:rPr>
              <w:t>Essential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 w:before="220" w:after="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Strong organisational skills; able to prioritise and manage time effectively.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work under pressure and meet expectations consistently.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Reliability, resilience, integrity and professional consistency.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work collaboratively within a team and contribute to collective goals.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resolve issues sensitively and professionally.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Willingness to seek advice, reflect and act on feedback.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76" w:before="0" w:after="22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Ownership of personal professional development.</w:t>
            </w:r>
          </w:p>
          <w:p>
            <w:pPr>
              <w:pStyle w:val="Heading3"/>
              <w:keepNext w:val="false"/>
              <w:keepLines w:val="false"/>
              <w:spacing w:lineRule="auto" w:line="276"/>
              <w:jc w:val="both"/>
              <w:rPr>
                <w:rFonts w:ascii="Calibri" w:hAnsi="Calibri" w:eastAsia="Century Gothic" w:cs="Calibri"/>
                <w:sz w:val="22"/>
                <w:szCs w:val="22"/>
              </w:rPr>
            </w:pPr>
            <w:bookmarkStart w:id="5" w:name="_heading=h.fsmtcugjhmur"/>
            <w:bookmarkEnd w:id="5"/>
            <w:r>
              <w:rPr>
                <w:rFonts w:eastAsia="Century Gothic" w:cs="Calibri" w:ascii="Calibri" w:hAnsi="Calibri"/>
                <w:sz w:val="22"/>
                <w:szCs w:val="22"/>
              </w:rPr>
              <w:t>Desirable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76" w:before="220" w:after="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Ability to motivate and support colleagues.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76" w:before="0" w:after="220"/>
              <w:jc w:val="both"/>
              <w:rPr>
                <w:rFonts w:ascii="Calibri" w:hAnsi="Calibri" w:eastAsia="Century Gothic" w:cs="Calibri"/>
              </w:rPr>
            </w:pPr>
            <w:r>
              <w:rPr>
                <w:rFonts w:eastAsia="Century Gothic" w:cs="Calibri" w:ascii="Calibri" w:hAnsi="Calibri"/>
              </w:rPr>
              <w:t>Experience collaborating with external professionals or partners.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eastAsia="Century Gothic" w:cs="Calibri"/>
                <w:b/>
                <w:b/>
                <w:bCs/>
              </w:rPr>
            </w:pPr>
            <w:r>
              <w:rPr>
                <w:rFonts w:eastAsia="Century Gothic" w:cs="Calibri" w:ascii="Calibri" w:hAnsi="Calibri"/>
                <w:b/>
                <w:bCs/>
              </w:rPr>
            </w:r>
          </w:p>
          <w:p>
            <w:pPr>
              <w:pStyle w:val="Normal"/>
              <w:rPr/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entury Gothic" w:cs="Calibri" w:ascii="Calibri" w:hAnsi="Calibri"/>
                <w:b/>
                <w:bCs/>
              </w:rPr>
              <w:t>B &amp; C</w:t>
            </w:r>
          </w:p>
        </w:tc>
      </w:tr>
      <w:tr>
        <w:trPr>
          <w:trHeight w:val="1815" w:hRule="atLeast"/>
        </w:trPr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i/>
                <w:i/>
                <w:iCs/>
              </w:rPr>
            </w:pPr>
            <w:r>
              <w:rPr>
                <w:rFonts w:eastAsia="Century Gothic" w:cs="Calibri" w:ascii="Calibri" w:hAnsi="Calibri"/>
                <w:b/>
                <w:bCs/>
                <w:i/>
                <w:iCs/>
              </w:rPr>
              <w:t>All our colleagues are expected to demonstrate a commitment to the values and principles of Woodheys Primary School.</w:t>
            </w:r>
          </w:p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i/>
                <w:i/>
                <w:iCs/>
              </w:rPr>
            </w:pPr>
            <w:r>
              <w:rPr>
                <w:rFonts w:eastAsia="Century Gothic" w:cs="Calibri" w:ascii="Calibri" w:hAnsi="Calibri"/>
                <w:b/>
                <w:bCs/>
                <w:i/>
                <w:iCs/>
              </w:rPr>
            </w:r>
          </w:p>
          <w:p>
            <w:pPr>
              <w:pStyle w:val="Normal"/>
              <w:jc w:val="center"/>
              <w:rPr>
                <w:rFonts w:ascii="Calibri" w:hAnsi="Calibri" w:eastAsia="Century Gothic" w:cs="Calibri"/>
                <w:b/>
                <w:b/>
                <w:bCs/>
                <w:i/>
                <w:i/>
                <w:iCs/>
              </w:rPr>
            </w:pPr>
            <w:r>
              <w:rPr>
                <w:rFonts w:eastAsia="Century Gothic" w:cs="Calibri" w:ascii="Calibri" w:hAnsi="Calibri"/>
                <w:b/>
                <w:bCs/>
                <w:i/>
                <w:iCs/>
              </w:rPr>
              <w:t>This job description will be reviewed regularly and may be amended following consultation.</w:t>
            </w:r>
          </w:p>
        </w:tc>
      </w:tr>
    </w:tbl>
    <w:p>
      <w:pPr>
        <w:pStyle w:val="Normal"/>
        <w:widowControl w:val="false"/>
        <w:pBdr/>
        <w:tabs>
          <w:tab w:val="clear" w:pos="720"/>
          <w:tab w:val="left" w:pos="888" w:leader="none"/>
        </w:tabs>
        <w:spacing w:before="119" w:after="0"/>
        <w:ind w:left="888" w:right="293" w:hanging="0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</w:r>
    </w:p>
    <w:p>
      <w:pPr>
        <w:pStyle w:val="Normal"/>
        <w:pBdr/>
        <w:rPr>
          <w:rFonts w:ascii="Calibri" w:hAnsi="Calibri" w:eastAsia="Century Gothic" w:cs="Calibri"/>
          <w:b/>
          <w:b/>
          <w:bCs/>
          <w:color w:val="000000"/>
          <w:sz w:val="22"/>
          <w:szCs w:val="22"/>
        </w:rPr>
      </w:pPr>
      <w:r>
        <w:rPr>
          <w:rFonts w:eastAsia="Century Gothic" w:cs="Calibri" w:ascii="Calibri" w:hAnsi="Calibri"/>
          <w:b/>
          <w:bCs/>
          <w:color w:val="000000"/>
          <w:sz w:val="22"/>
          <w:szCs w:val="22"/>
        </w:rPr>
      </w:r>
    </w:p>
    <w:p>
      <w:pPr>
        <w:pStyle w:val="Normal"/>
        <w:pBdr/>
        <w:rPr>
          <w:rFonts w:ascii="Calibri" w:hAnsi="Calibri" w:eastAsia="Century Gothic" w:cs="Calibri"/>
          <w:b/>
          <w:b/>
          <w:bCs/>
          <w:color w:val="000000"/>
          <w:sz w:val="22"/>
          <w:szCs w:val="22"/>
        </w:rPr>
      </w:pPr>
      <w:r>
        <w:rPr>
          <w:rFonts w:eastAsia="Century Gothic" w:cs="Calibri" w:ascii="Calibri" w:hAnsi="Calibri"/>
          <w:b/>
          <w:bCs/>
          <w:color w:val="000000"/>
          <w:sz w:val="22"/>
          <w:szCs w:val="22"/>
        </w:rPr>
      </w:r>
    </w:p>
    <w:p>
      <w:pPr>
        <w:pStyle w:val="Normal"/>
        <w:rPr>
          <w:rFonts w:ascii="Calibri" w:hAnsi="Calibri" w:eastAsia="Century Gothic" w:cs="Calibri"/>
          <w:color w:val="000000"/>
          <w:sz w:val="22"/>
          <w:szCs w:val="22"/>
        </w:rPr>
      </w:pPr>
      <w:r>
        <w:rPr>
          <w:rFonts w:eastAsia="Century Gothic" w:cs="Calibri" w:ascii="Calibri" w:hAnsi="Calibri"/>
          <w:color w:val="000000"/>
          <w:sz w:val="22"/>
          <w:szCs w:val="22"/>
        </w:rPr>
      </w:r>
    </w:p>
    <w:sectPr>
      <w:headerReference w:type="default" r:id="rId3"/>
      <w:footerReference w:type="default" r:id="rId4"/>
      <w:type w:val="nextPage"/>
      <w:pgSz w:w="11906" w:h="16838"/>
      <w:pgMar w:left="1134" w:right="1134" w:header="709" w:top="766" w:footer="850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Noto Sans Symbols">
    <w:charset w:val="01"/>
    <w:family w:val="auto"/>
    <w:pitch w:val="default"/>
  </w:font>
  <w:font w:name="Courier New">
    <w:charset w:val="01"/>
    <w:family w:val="modern"/>
    <w:pitch w:val="default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 Math">
    <w:charset w:val="00"/>
    <w:family w:val="roma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right" w:pos="9020" w:leader="none"/>
      </w:tabs>
      <w:rPr>
        <w:rFonts w:ascii="Helvetica Neue" w:hAnsi="Helvetica Neue" w:eastAsia="Helvetica Neue" w:cs="Helvetica Neue"/>
        <w:color w:val="000000"/>
      </w:rPr>
    </w:pPr>
    <w:r>
      <w:rPr>
        <w:rFonts w:eastAsia="Helvetica Neue" w:cs="Helvetica Neue" w:ascii="Helvetica Neue" w:hAnsi="Helvetica Neue"/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1"/>
        <w:u w:val="none"/>
        <w:szCs w:val="21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3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1"/>
        <w:u w:val="none"/>
        <w:szCs w:val="21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4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2"/>
        <w:u w:val="none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5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2"/>
        <w:u w:val="none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6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2"/>
        <w:u w:val="none"/>
        <w:szCs w:val="22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7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2"/>
        <w:u w:val="none"/>
        <w:szCs w:val="22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rFonts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rFonts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rFonts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  <w:rFonts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rFonts w:cs="Noto Sans Symbols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rFonts w:ascii="Calibri" w:hAnsi="Calibri" w:eastAsia="Century Gothic" w:cs="Calibri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rFonts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rFonts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rFonts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  <w:rFonts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rFonts w:cs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  <w:rFonts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  <w:rFonts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sz w:val="20"/>
        <w:szCs w:val="20"/>
        <w:rFonts w:cs="Noto Sans Symbols"/>
      </w:rPr>
    </w:lvl>
  </w:abstractNum>
  <w:abstractNum w:abstractNumId="13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14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1"/>
        <w:u w:val="none"/>
        <w:szCs w:val="21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15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2"/>
        <w:u w:val="none"/>
        <w:szCs w:val="22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16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2"/>
        <w:u w:val="none"/>
        <w:szCs w:val="22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abstractNum w:abstractNumId="17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  <w:rFonts w:cs="Wingdings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  <w:rFonts w:cs="Wingdings 2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;Arial Unicode MS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  <w:rFonts w:cs="Wingdings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  <w:rFonts w:cs="Wingdings 2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;Arial Unicode MS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  <w:rFonts w:cs="Wingdings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  <w:rFonts w:cs="Wingdings 2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;Arial Unicode M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GB" w:bidi="ar-SA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280" w:after="8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>
      <w:rFonts w:ascii="Wingdings" w:hAnsi="Wingdings" w:cs="Wingdings"/>
      <w:sz w:val="21"/>
      <w:szCs w:val="21"/>
      <w:u w:val="none"/>
    </w:rPr>
  </w:style>
  <w:style w:type="character" w:styleId="WW8Num1z1">
    <w:name w:val="WW8Num1z1"/>
    <w:qFormat/>
    <w:rPr>
      <w:rFonts w:ascii="Wingdings 2" w:hAnsi="Wingdings 2" w:cs="Wingdings 2"/>
      <w:u w:val="none"/>
    </w:rPr>
  </w:style>
  <w:style w:type="character" w:styleId="WW8Num1z2">
    <w:name w:val="WW8Num1z2"/>
    <w:qFormat/>
    <w:rPr>
      <w:rFonts w:ascii="OpenSymbol;Arial Unicode MS" w:hAnsi="OpenSymbol;Arial Unicode MS" w:cs="OpenSymbol;Arial Unicode MS"/>
      <w:u w:val="none"/>
    </w:rPr>
  </w:style>
  <w:style w:type="character" w:styleId="WW8Num1z3">
    <w:name w:val="WW8Num1z3"/>
    <w:qFormat/>
    <w:rPr>
      <w:rFonts w:ascii="Wingdings" w:hAnsi="Wingdings" w:cs="Wingdings"/>
      <w:u w:val="none"/>
    </w:rPr>
  </w:style>
  <w:style w:type="character" w:styleId="WW8Num2z0">
    <w:name w:val="WW8Num2z0"/>
    <w:qFormat/>
    <w:rPr>
      <w:rFonts w:ascii="Wingdings" w:hAnsi="Wingdings" w:cs="Wingdings"/>
      <w:sz w:val="21"/>
      <w:szCs w:val="21"/>
      <w:u w:val="none"/>
    </w:rPr>
  </w:style>
  <w:style w:type="character" w:styleId="WW8Num2z1">
    <w:name w:val="WW8Num2z1"/>
    <w:qFormat/>
    <w:rPr>
      <w:rFonts w:ascii="Wingdings 2" w:hAnsi="Wingdings 2" w:cs="Wingdings 2"/>
      <w:u w:val="none"/>
    </w:rPr>
  </w:style>
  <w:style w:type="character" w:styleId="WW8Num2z2">
    <w:name w:val="WW8Num2z2"/>
    <w:qFormat/>
    <w:rPr>
      <w:rFonts w:ascii="OpenSymbol;Arial Unicode MS" w:hAnsi="OpenSymbol;Arial Unicode MS" w:cs="OpenSymbol;Arial Unicode MS"/>
      <w:u w:val="none"/>
    </w:rPr>
  </w:style>
  <w:style w:type="character" w:styleId="WW8Num2z3">
    <w:name w:val="WW8Num2z3"/>
    <w:qFormat/>
    <w:rPr>
      <w:rFonts w:ascii="Wingdings" w:hAnsi="Wingdings" w:cs="Wingdings"/>
      <w:u w:val="none"/>
    </w:rPr>
  </w:style>
  <w:style w:type="character" w:styleId="WW8Num3z0">
    <w:name w:val="WW8Num3z0"/>
    <w:qFormat/>
    <w:rPr>
      <w:rFonts w:ascii="Wingdings" w:hAnsi="Wingdings" w:cs="Wingdings"/>
      <w:sz w:val="22"/>
      <w:u w:val="none"/>
    </w:rPr>
  </w:style>
  <w:style w:type="character" w:styleId="WW8Num3z1">
    <w:name w:val="WW8Num3z1"/>
    <w:qFormat/>
    <w:rPr>
      <w:rFonts w:ascii="Wingdings 2" w:hAnsi="Wingdings 2" w:cs="Wingdings 2"/>
      <w:u w:val="none"/>
    </w:rPr>
  </w:style>
  <w:style w:type="character" w:styleId="WW8Num3z2">
    <w:name w:val="WW8Num3z2"/>
    <w:qFormat/>
    <w:rPr>
      <w:rFonts w:ascii="OpenSymbol;Arial Unicode MS" w:hAnsi="OpenSymbol;Arial Unicode MS" w:cs="OpenSymbol;Arial Unicode MS"/>
      <w:u w:val="none"/>
    </w:rPr>
  </w:style>
  <w:style w:type="character" w:styleId="WW8Num3z3">
    <w:name w:val="WW8Num3z3"/>
    <w:qFormat/>
    <w:rPr>
      <w:rFonts w:ascii="Wingdings" w:hAnsi="Wingdings" w:cs="Wingdings"/>
      <w:u w:val="none"/>
    </w:rPr>
  </w:style>
  <w:style w:type="character" w:styleId="WW8Num4z0">
    <w:name w:val="WW8Num4z0"/>
    <w:qFormat/>
    <w:rPr>
      <w:rFonts w:ascii="Wingdings" w:hAnsi="Wingdings" w:cs="Wingdings"/>
      <w:sz w:val="22"/>
      <w:u w:val="none"/>
    </w:rPr>
  </w:style>
  <w:style w:type="character" w:styleId="WW8Num4z1">
    <w:name w:val="WW8Num4z1"/>
    <w:qFormat/>
    <w:rPr>
      <w:rFonts w:ascii="Wingdings 2" w:hAnsi="Wingdings 2" w:cs="Wingdings 2"/>
      <w:u w:val="none"/>
    </w:rPr>
  </w:style>
  <w:style w:type="character" w:styleId="WW8Num4z2">
    <w:name w:val="WW8Num4z2"/>
    <w:qFormat/>
    <w:rPr>
      <w:rFonts w:ascii="OpenSymbol;Arial Unicode MS" w:hAnsi="OpenSymbol;Arial Unicode MS" w:cs="OpenSymbol;Arial Unicode MS"/>
      <w:u w:val="none"/>
    </w:rPr>
  </w:style>
  <w:style w:type="character" w:styleId="WW8Num4z3">
    <w:name w:val="WW8Num4z3"/>
    <w:qFormat/>
    <w:rPr>
      <w:rFonts w:ascii="Wingdings" w:hAnsi="Wingdings" w:cs="Wingdings"/>
      <w:u w:val="none"/>
    </w:rPr>
  </w:style>
  <w:style w:type="character" w:styleId="WW8Num5z0">
    <w:name w:val="WW8Num5z0"/>
    <w:qFormat/>
    <w:rPr>
      <w:rFonts w:ascii="Wingdings" w:hAnsi="Wingdings" w:eastAsia="Century Gothic" w:cs="Wingdings"/>
      <w:sz w:val="22"/>
      <w:szCs w:val="22"/>
      <w:u w:val="none"/>
    </w:rPr>
  </w:style>
  <w:style w:type="character" w:styleId="WW8Num5z1">
    <w:name w:val="WW8Num5z1"/>
    <w:qFormat/>
    <w:rPr>
      <w:rFonts w:ascii="Wingdings 2" w:hAnsi="Wingdings 2" w:cs="Wingdings 2"/>
      <w:u w:val="none"/>
    </w:rPr>
  </w:style>
  <w:style w:type="character" w:styleId="WW8Num5z2">
    <w:name w:val="WW8Num5z2"/>
    <w:qFormat/>
    <w:rPr>
      <w:rFonts w:ascii="OpenSymbol;Arial Unicode MS" w:hAnsi="OpenSymbol;Arial Unicode MS" w:cs="OpenSymbol;Arial Unicode MS"/>
      <w:u w:val="none"/>
    </w:rPr>
  </w:style>
  <w:style w:type="character" w:styleId="WW8Num5z3">
    <w:name w:val="WW8Num5z3"/>
    <w:qFormat/>
    <w:rPr>
      <w:rFonts w:ascii="Wingdings" w:hAnsi="Wingdings" w:cs="Wingdings"/>
      <w:u w:val="none"/>
    </w:rPr>
  </w:style>
  <w:style w:type="character" w:styleId="WW8Num6z0">
    <w:name w:val="WW8Num6z0"/>
    <w:qFormat/>
    <w:rPr>
      <w:rFonts w:ascii="Wingdings" w:hAnsi="Wingdings" w:eastAsia="Century Gothic" w:cs="Wingdings"/>
      <w:sz w:val="22"/>
      <w:szCs w:val="22"/>
      <w:u w:val="none"/>
    </w:rPr>
  </w:style>
  <w:style w:type="character" w:styleId="WW8Num6z1">
    <w:name w:val="WW8Num6z1"/>
    <w:qFormat/>
    <w:rPr>
      <w:rFonts w:ascii="Wingdings 2" w:hAnsi="Wingdings 2" w:cs="Wingdings 2"/>
      <w:u w:val="none"/>
    </w:rPr>
  </w:style>
  <w:style w:type="character" w:styleId="WW8Num6z2">
    <w:name w:val="WW8Num6z2"/>
    <w:qFormat/>
    <w:rPr>
      <w:rFonts w:ascii="OpenSymbol;Arial Unicode MS" w:hAnsi="OpenSymbol;Arial Unicode MS" w:cs="OpenSymbol;Arial Unicode MS"/>
      <w:u w:val="none"/>
    </w:rPr>
  </w:style>
  <w:style w:type="character" w:styleId="WW8Num6z3">
    <w:name w:val="WW8Num6z3"/>
    <w:qFormat/>
    <w:rPr>
      <w:rFonts w:ascii="Wingdings" w:hAnsi="Wingdings" w:cs="Wingdings"/>
      <w:u w:val="none"/>
    </w:rPr>
  </w:style>
  <w:style w:type="character" w:styleId="WW8Num7z0">
    <w:name w:val="WW8Num7z0"/>
    <w:qFormat/>
    <w:rPr>
      <w:rFonts w:ascii="Noto Sans Symbols" w:hAnsi="Noto Sans Symbols" w:eastAsia="Century Gothic" w:cs="Noto Sans Symbols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8z0">
    <w:name w:val="WW8Num8z0"/>
    <w:qFormat/>
    <w:rPr>
      <w:rFonts w:ascii="Calibri" w:hAnsi="Calibri" w:eastAsia="Century Gothic" w:cs="Calibri"/>
      <w:sz w:val="22"/>
      <w:szCs w:val="22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Noto Sans Symbols" w:hAnsi="Noto Sans Symbols" w:cs="Noto Sans Symbol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10z0">
    <w:name w:val="WW8Num10z0"/>
    <w:qFormat/>
    <w:rPr>
      <w:rFonts w:ascii="Noto Sans Symbols" w:hAnsi="Noto Sans Symbols" w:cs="Noto Sans Symbols"/>
      <w:sz w:val="20"/>
      <w:szCs w:val="20"/>
    </w:rPr>
  </w:style>
  <w:style w:type="character" w:styleId="WW8Num10z1">
    <w:name w:val="WW8Num10z1"/>
    <w:qFormat/>
    <w:rPr>
      <w:rFonts w:ascii="Courier New" w:hAnsi="Courier New" w:cs="Courier New"/>
      <w:sz w:val="20"/>
      <w:szCs w:val="20"/>
    </w:rPr>
  </w:style>
  <w:style w:type="character" w:styleId="WW8Num11z0">
    <w:name w:val="WW8Num11z0"/>
    <w:qFormat/>
    <w:rPr>
      <w:rFonts w:ascii="Noto Sans Symbols" w:hAnsi="Noto Sans Symbols" w:eastAsia="Century Gothic" w:cs="Noto Sans Symbols"/>
      <w:sz w:val="20"/>
      <w:szCs w:val="20"/>
    </w:rPr>
  </w:style>
  <w:style w:type="character" w:styleId="WW8Num11z1">
    <w:name w:val="WW8Num11z1"/>
    <w:qFormat/>
    <w:rPr>
      <w:rFonts w:ascii="Courier New" w:hAnsi="Courier New" w:cs="Courier New"/>
      <w:sz w:val="20"/>
      <w:szCs w:val="20"/>
    </w:rPr>
  </w:style>
  <w:style w:type="character" w:styleId="WW8Num12z0">
    <w:name w:val="WW8Num12z0"/>
    <w:qFormat/>
    <w:rPr>
      <w:rFonts w:ascii="Wingdings" w:hAnsi="Wingdings" w:cs="Wingdings"/>
      <w:u w:val="none"/>
    </w:rPr>
  </w:style>
  <w:style w:type="character" w:styleId="WW8Num12z1">
    <w:name w:val="WW8Num12z1"/>
    <w:qFormat/>
    <w:rPr>
      <w:rFonts w:ascii="Wingdings 2" w:hAnsi="Wingdings 2" w:cs="Wingdings 2"/>
      <w:u w:val="none"/>
    </w:rPr>
  </w:style>
  <w:style w:type="character" w:styleId="WW8Num12z2">
    <w:name w:val="WW8Num12z2"/>
    <w:qFormat/>
    <w:rPr>
      <w:rFonts w:ascii="OpenSymbol;Arial Unicode MS" w:hAnsi="OpenSymbol;Arial Unicode MS" w:cs="OpenSymbol;Arial Unicode MS"/>
      <w:u w:val="none"/>
    </w:rPr>
  </w:style>
  <w:style w:type="character" w:styleId="WW8Num13z0">
    <w:name w:val="WW8Num13z0"/>
    <w:qFormat/>
    <w:rPr>
      <w:rFonts w:ascii="Wingdings" w:hAnsi="Wingdings" w:cs="Wingdings"/>
      <w:sz w:val="21"/>
      <w:szCs w:val="21"/>
      <w:u w:val="none"/>
    </w:rPr>
  </w:style>
  <w:style w:type="character" w:styleId="WW8Num13z1">
    <w:name w:val="WW8Num13z1"/>
    <w:qFormat/>
    <w:rPr>
      <w:rFonts w:ascii="Wingdings 2" w:hAnsi="Wingdings 2" w:cs="Wingdings 2"/>
      <w:u w:val="none"/>
    </w:rPr>
  </w:style>
  <w:style w:type="character" w:styleId="WW8Num13z2">
    <w:name w:val="WW8Num13z2"/>
    <w:qFormat/>
    <w:rPr>
      <w:rFonts w:ascii="OpenSymbol;Arial Unicode MS" w:hAnsi="OpenSymbol;Arial Unicode MS" w:cs="OpenSymbol;Arial Unicode MS"/>
      <w:u w:val="none"/>
    </w:rPr>
  </w:style>
  <w:style w:type="character" w:styleId="WW8Num13z3">
    <w:name w:val="WW8Num13z3"/>
    <w:qFormat/>
    <w:rPr>
      <w:rFonts w:ascii="Wingdings" w:hAnsi="Wingdings" w:cs="Wingdings"/>
      <w:u w:val="none"/>
    </w:rPr>
  </w:style>
  <w:style w:type="character" w:styleId="WW8Num14z0">
    <w:name w:val="WW8Num14z0"/>
    <w:qFormat/>
    <w:rPr>
      <w:rFonts w:ascii="Wingdings" w:hAnsi="Wingdings" w:eastAsia="Century Gothic" w:cs="Wingdings"/>
      <w:sz w:val="22"/>
      <w:szCs w:val="22"/>
      <w:u w:val="none"/>
    </w:rPr>
  </w:style>
  <w:style w:type="character" w:styleId="WW8Num14z1">
    <w:name w:val="WW8Num14z1"/>
    <w:qFormat/>
    <w:rPr>
      <w:rFonts w:ascii="Wingdings 2" w:hAnsi="Wingdings 2" w:cs="Wingdings 2"/>
      <w:u w:val="none"/>
    </w:rPr>
  </w:style>
  <w:style w:type="character" w:styleId="WW8Num14z2">
    <w:name w:val="WW8Num14z2"/>
    <w:qFormat/>
    <w:rPr>
      <w:rFonts w:ascii="OpenSymbol;Arial Unicode MS" w:hAnsi="OpenSymbol;Arial Unicode MS" w:cs="OpenSymbol;Arial Unicode MS"/>
      <w:u w:val="none"/>
    </w:rPr>
  </w:style>
  <w:style w:type="character" w:styleId="WW8Num14z3">
    <w:name w:val="WW8Num14z3"/>
    <w:qFormat/>
    <w:rPr>
      <w:rFonts w:ascii="Wingdings" w:hAnsi="Wingdings" w:cs="Wingdings"/>
      <w:u w:val="none"/>
    </w:rPr>
  </w:style>
  <w:style w:type="character" w:styleId="WW8Num15z0">
    <w:name w:val="WW8Num15z0"/>
    <w:qFormat/>
    <w:rPr>
      <w:rFonts w:ascii="Wingdings" w:hAnsi="Wingdings" w:eastAsia="Century Gothic" w:cs="Wingdings"/>
      <w:sz w:val="22"/>
      <w:szCs w:val="22"/>
      <w:u w:val="none"/>
    </w:rPr>
  </w:style>
  <w:style w:type="character" w:styleId="WW8Num15z1">
    <w:name w:val="WW8Num15z1"/>
    <w:qFormat/>
    <w:rPr>
      <w:rFonts w:ascii="Wingdings 2" w:hAnsi="Wingdings 2" w:cs="Wingdings 2"/>
      <w:u w:val="none"/>
    </w:rPr>
  </w:style>
  <w:style w:type="character" w:styleId="WW8Num15z2">
    <w:name w:val="WW8Num15z2"/>
    <w:qFormat/>
    <w:rPr>
      <w:rFonts w:ascii="OpenSymbol;Arial Unicode MS" w:hAnsi="OpenSymbol;Arial Unicode MS" w:cs="OpenSymbol;Arial Unicode MS"/>
      <w:u w:val="none"/>
    </w:rPr>
  </w:style>
  <w:style w:type="character" w:styleId="WW8Num15z3">
    <w:name w:val="WW8Num15z3"/>
    <w:qFormat/>
    <w:rPr>
      <w:rFonts w:ascii="Wingdings" w:hAnsi="Wingdings" w:cs="Wingdings"/>
      <w:u w:val="none"/>
    </w:rPr>
  </w:style>
  <w:style w:type="character" w:styleId="WW8Num16z0">
    <w:name w:val="WW8Num16z0"/>
    <w:qFormat/>
    <w:rPr>
      <w:rFonts w:ascii="Wingdings" w:hAnsi="Wingdings" w:cs="Wingdings"/>
      <w:u w:val="none"/>
    </w:rPr>
  </w:style>
  <w:style w:type="character" w:styleId="WW8Num16z1">
    <w:name w:val="WW8Num16z1"/>
    <w:qFormat/>
    <w:rPr>
      <w:rFonts w:ascii="Wingdings 2" w:hAnsi="Wingdings 2" w:cs="Wingdings 2"/>
      <w:u w:val="none"/>
    </w:rPr>
  </w:style>
  <w:style w:type="character" w:styleId="WW8Num16z2">
    <w:name w:val="WW8Num16z2"/>
    <w:qFormat/>
    <w:rPr>
      <w:rFonts w:ascii="OpenSymbol;Arial Unicode MS" w:hAnsi="OpenSymbol;Arial Unicode MS" w:cs="OpenSymbol;Arial Unicode MS"/>
      <w:u w:val="none"/>
    </w:rPr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DefaultParagraphFont">
    <w:name w:val="Default Paragraph Font"/>
    <w:qFormat/>
    <w:rPr/>
  </w:style>
  <w:style w:type="character" w:styleId="Heading2Char">
    <w:name w:val="Heading 2 Char"/>
    <w:basedOn w:val="DefaultParagraphFont"/>
    <w:qFormat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Heading3Char">
    <w:name w:val="Heading 3 Char"/>
    <w:basedOn w:val="DefaultParagraphFont"/>
    <w:qFormat/>
    <w:rPr>
      <w:rFonts w:ascii="Times New Roman" w:hAnsi="Times New Roman" w:eastAsia="Times New Roman" w:cs="Times New Roman"/>
      <w:b/>
      <w:bCs/>
      <w:sz w:val="28"/>
      <w:szCs w:val="28"/>
      <w:lang w:eastAsia="en-GB"/>
    </w:rPr>
  </w:style>
  <w:style w:type="character" w:styleId="HeaderChar">
    <w:name w:val="Header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FooterChar">
    <w:name w:val="Footer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