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lineRule="auto" w:line="360" w:before="240" w:after="240"/>
        <w:jc w:val="center"/>
        <w:rPr/>
      </w:pPr>
      <w:r>
        <w:rPr/>
      </w:r>
    </w:p>
    <w:p>
      <w:pPr>
        <w:pStyle w:val="Heading1"/>
        <w:spacing w:lineRule="auto" w:line="360"/>
        <w:jc w:val="center"/>
        <w:rPr/>
      </w:pPr>
      <w:r>
        <w:rPr/>
      </w:r>
    </w:p>
    <w:p>
      <w:pPr>
        <w:pStyle w:val="Heading1"/>
        <w:spacing w:lineRule="auto" w:line="360"/>
        <w:jc w:val="center"/>
        <w:rPr/>
      </w:pPr>
      <w:r>
        <w:rPr/>
        <w:t>Job Description and Person Specification</w:t>
      </w:r>
    </w:p>
    <w:p>
      <w:pPr>
        <w:pStyle w:val="Heading1"/>
        <w:spacing w:lineRule="auto" w:line="360"/>
        <w:jc w:val="center"/>
        <w:rPr/>
      </w:pPr>
      <w:r>
        <w:rPr/>
        <w:t>Cover Supervisor</w:t>
      </w:r>
    </w:p>
    <w:p>
      <w:pPr>
        <w:pStyle w:val="Heading2"/>
        <w:spacing w:lineRule="auto" w:line="360"/>
        <w:rPr/>
      </w:pPr>
      <w:r>
        <w:rPr/>
        <w:t>Main Purpose of the Role</w:t>
      </w:r>
    </w:p>
    <w:p>
      <w:pPr>
        <w:pStyle w:val="Normal"/>
        <w:spacing w:before="0" w:after="40"/>
        <w:jc w:val="both"/>
        <w:rPr/>
      </w:pPr>
      <w:r>
        <w:rPr/>
        <w:t>To support the delivery of high-quality education for pupils with a range of special educational needs and disabilities, including pupils aged 11–19. The postholder will supervise classes during teacher absence, deliver pre-planned learning activities, support personalised learning, and contribute to a safe, inclusive and purposeful learning environment.</w:t>
      </w:r>
    </w:p>
    <w:p>
      <w:pPr>
        <w:pStyle w:val="Normal"/>
        <w:tabs>
          <w:tab w:val="clear" w:pos="720"/>
          <w:tab w:val="left" w:pos="7770" w:leader="none"/>
        </w:tabs>
        <w:rPr>
          <w:rFonts w:cs="Arial"/>
        </w:rPr>
      </w:pPr>
      <w:r>
        <w:rPr>
          <w:rFonts w:cs="Arial"/>
        </w:rPr>
      </w:r>
    </w:p>
    <w:p>
      <w:pPr>
        <w:pStyle w:val="Heading2"/>
        <w:spacing w:lineRule="auto" w:line="360"/>
        <w:rPr/>
      </w:pPr>
      <w:r>
        <w:rPr/>
        <w:t>Key Responsibilities</w:t>
      </w:r>
    </w:p>
    <w:p>
      <w:pPr>
        <w:pStyle w:val="Heading2"/>
        <w:spacing w:lineRule="auto" w:line="360"/>
        <w:rPr/>
      </w:pPr>
      <w:r>
        <w:rPr/>
        <w:t>Learning, Cover Supervision and Curriculum Support</w:t>
      </w:r>
    </w:p>
    <w:p>
      <w:pPr>
        <w:pStyle w:val="ListBullet"/>
        <w:numPr>
          <w:ilvl w:val="0"/>
          <w:numId w:val="5"/>
        </w:numPr>
        <w:spacing w:lineRule="auto" w:line="360" w:before="0" w:after="40"/>
        <w:contextualSpacing/>
        <w:jc w:val="both"/>
        <w:rPr>
          <w:color w:val="585857"/>
          <w:sz w:val="20"/>
          <w:szCs w:val="20"/>
        </w:rPr>
      </w:pPr>
      <w:r>
        <w:rPr>
          <w:color w:val="585857"/>
          <w:sz w:val="20"/>
          <w:szCs w:val="20"/>
        </w:rPr>
        <w:t>Cover lessons during teacher absence by delivering pre-planned learning activities and maintaining continuity of learning.</w:t>
      </w:r>
    </w:p>
    <w:p>
      <w:pPr>
        <w:pStyle w:val="ListBullet"/>
        <w:numPr>
          <w:ilvl w:val="0"/>
          <w:numId w:val="5"/>
        </w:numPr>
        <w:spacing w:lineRule="auto" w:line="360" w:before="0" w:after="40"/>
        <w:contextualSpacing/>
        <w:jc w:val="both"/>
        <w:rPr>
          <w:color w:val="585857"/>
          <w:sz w:val="20"/>
          <w:szCs w:val="20"/>
        </w:rPr>
      </w:pPr>
      <w:r>
        <w:rPr>
          <w:color w:val="585857"/>
          <w:sz w:val="20"/>
          <w:szCs w:val="20"/>
        </w:rPr>
        <w:t>Within an agreed system of supervision, plan, adapt and deliver challenging teaching and learning activities, evaluating and adjusting plans where appropriate.</w:t>
      </w:r>
    </w:p>
    <w:p>
      <w:pPr>
        <w:pStyle w:val="ListBullet"/>
        <w:numPr>
          <w:ilvl w:val="0"/>
          <w:numId w:val="5"/>
        </w:numPr>
        <w:spacing w:lineRule="auto" w:line="360" w:before="0" w:after="40"/>
        <w:contextualSpacing/>
        <w:jc w:val="both"/>
        <w:rPr>
          <w:color w:val="585857"/>
          <w:sz w:val="20"/>
          <w:szCs w:val="20"/>
        </w:rPr>
      </w:pPr>
      <w:r>
        <w:rPr>
          <w:color w:val="585857"/>
          <w:sz w:val="20"/>
          <w:szCs w:val="20"/>
        </w:rPr>
        <w:t>Support the delivery of the curriculum and personalised learning programmes for pupils with a variety of special educational needs.</w:t>
      </w:r>
    </w:p>
    <w:p>
      <w:pPr>
        <w:pStyle w:val="ListBullet"/>
        <w:numPr>
          <w:ilvl w:val="0"/>
          <w:numId w:val="5"/>
        </w:numPr>
        <w:spacing w:lineRule="auto" w:line="360" w:before="0" w:after="40"/>
        <w:contextualSpacing/>
        <w:jc w:val="both"/>
        <w:rPr>
          <w:color w:val="585857"/>
          <w:sz w:val="20"/>
          <w:szCs w:val="20"/>
        </w:rPr>
      </w:pPr>
      <w:r>
        <w:rPr>
          <w:color w:val="585857"/>
          <w:sz w:val="20"/>
          <w:szCs w:val="20"/>
        </w:rPr>
        <w:t>Select, prepare and adapt resources to meet pupils’ learning, communication, sensory and physical needs, taking account of pupils’ interests, backgrounds and prior attainment.</w:t>
      </w:r>
    </w:p>
    <w:p>
      <w:pPr>
        <w:pStyle w:val="ListBullet"/>
        <w:numPr>
          <w:ilvl w:val="0"/>
          <w:numId w:val="5"/>
        </w:numPr>
        <w:spacing w:lineRule="auto" w:line="360" w:before="0" w:after="40"/>
        <w:contextualSpacing/>
        <w:jc w:val="both"/>
        <w:rPr>
          <w:color w:val="585857"/>
          <w:sz w:val="20"/>
          <w:szCs w:val="20"/>
        </w:rPr>
      </w:pPr>
      <w:r>
        <w:rPr>
          <w:color w:val="585857"/>
          <w:sz w:val="20"/>
          <w:szCs w:val="20"/>
        </w:rPr>
        <w:t>Monitor and evaluate pupil responses to learning activities using agreed assessment and monitoring strategies against pre-determined learning objectives.</w:t>
      </w:r>
    </w:p>
    <w:p>
      <w:pPr>
        <w:pStyle w:val="ListBullet"/>
        <w:numPr>
          <w:ilvl w:val="0"/>
          <w:numId w:val="5"/>
        </w:numPr>
        <w:spacing w:lineRule="auto" w:line="360" w:before="0" w:after="40"/>
        <w:contextualSpacing/>
        <w:jc w:val="both"/>
        <w:rPr>
          <w:color w:val="585857"/>
          <w:sz w:val="20"/>
          <w:szCs w:val="20"/>
        </w:rPr>
      </w:pPr>
      <w:r>
        <w:rPr>
          <w:color w:val="585857"/>
          <w:sz w:val="20"/>
          <w:szCs w:val="20"/>
        </w:rPr>
        <w:t>Provide objective and accurate feedback, records and reports on pupil achievement, progress, behaviour and other relevant matters, ensuring appropriate evidence is available.</w:t>
      </w:r>
    </w:p>
    <w:p>
      <w:pPr>
        <w:pStyle w:val="ListBullet"/>
        <w:numPr>
          <w:ilvl w:val="0"/>
          <w:numId w:val="5"/>
        </w:numPr>
        <w:spacing w:lineRule="auto" w:line="360" w:before="0" w:after="40"/>
        <w:contextualSpacing/>
        <w:jc w:val="both"/>
        <w:rPr>
          <w:color w:val="585857"/>
          <w:sz w:val="20"/>
          <w:szCs w:val="20"/>
        </w:rPr>
      </w:pPr>
      <w:r>
        <w:rPr>
          <w:color w:val="585857"/>
          <w:sz w:val="20"/>
          <w:szCs w:val="20"/>
        </w:rPr>
        <w:t>Promote pupils’ independence and use agreed strategies to recognise and reward achievement, self-reliance and positive engagement.</w:t>
      </w:r>
    </w:p>
    <w:p>
      <w:pPr>
        <w:pStyle w:val="ListBullet"/>
        <w:numPr>
          <w:ilvl w:val="0"/>
          <w:numId w:val="0"/>
        </w:numPr>
        <w:spacing w:lineRule="auto" w:line="360" w:before="0" w:after="40"/>
        <w:ind w:left="360" w:right="0" w:hanging="0"/>
        <w:contextualSpacing/>
        <w:jc w:val="both"/>
        <w:rPr>
          <w:color w:val="585857"/>
          <w:sz w:val="20"/>
          <w:szCs w:val="20"/>
        </w:rPr>
      </w:pPr>
      <w:r>
        <w:rPr>
          <w:color w:val="585857"/>
          <w:sz w:val="20"/>
          <w:szCs w:val="20"/>
        </w:rPr>
      </w:r>
    </w:p>
    <w:p>
      <w:pPr>
        <w:pStyle w:val="ListBullet"/>
        <w:numPr>
          <w:ilvl w:val="0"/>
          <w:numId w:val="0"/>
        </w:numPr>
        <w:spacing w:lineRule="auto" w:line="360" w:before="0" w:after="40"/>
        <w:ind w:left="360" w:right="0" w:hanging="0"/>
        <w:contextualSpacing/>
        <w:jc w:val="both"/>
        <w:rPr>
          <w:color w:val="585857"/>
          <w:sz w:val="20"/>
          <w:szCs w:val="20"/>
        </w:rPr>
      </w:pPr>
      <w:r>
        <w:rPr>
          <w:color w:val="585857"/>
          <w:sz w:val="20"/>
          <w:szCs w:val="20"/>
        </w:rPr>
      </w:r>
    </w:p>
    <w:p>
      <w:pPr>
        <w:pStyle w:val="ListBullet"/>
        <w:numPr>
          <w:ilvl w:val="0"/>
          <w:numId w:val="0"/>
        </w:numPr>
        <w:spacing w:lineRule="auto" w:line="360" w:before="0" w:after="40"/>
        <w:ind w:left="360" w:right="0" w:hanging="0"/>
        <w:contextualSpacing/>
        <w:jc w:val="both"/>
        <w:rPr>
          <w:color w:val="585857"/>
          <w:sz w:val="20"/>
          <w:szCs w:val="20"/>
        </w:rPr>
      </w:pPr>
      <w:r>
        <w:rPr>
          <w:color w:val="585857"/>
          <w:sz w:val="20"/>
          <w:szCs w:val="20"/>
        </w:rPr>
      </w:r>
    </w:p>
    <w:p>
      <w:pPr>
        <w:pStyle w:val="ListBullet"/>
        <w:numPr>
          <w:ilvl w:val="0"/>
          <w:numId w:val="0"/>
        </w:numPr>
        <w:spacing w:lineRule="auto" w:line="360" w:before="0" w:after="40"/>
        <w:ind w:left="360" w:right="0" w:hanging="0"/>
        <w:contextualSpacing/>
        <w:jc w:val="both"/>
        <w:rPr>
          <w:color w:val="585857"/>
          <w:sz w:val="20"/>
          <w:szCs w:val="20"/>
        </w:rPr>
      </w:pPr>
      <w:r>
        <w:rPr>
          <w:color w:val="585857"/>
          <w:sz w:val="20"/>
          <w:szCs w:val="20"/>
        </w:rPr>
      </w:r>
    </w:p>
    <w:p>
      <w:pPr>
        <w:pStyle w:val="ListBullet"/>
        <w:numPr>
          <w:ilvl w:val="0"/>
          <w:numId w:val="0"/>
        </w:numPr>
        <w:spacing w:lineRule="auto" w:line="360" w:before="0" w:after="40"/>
        <w:ind w:left="360" w:right="0" w:hanging="0"/>
        <w:contextualSpacing/>
        <w:jc w:val="both"/>
        <w:rPr>
          <w:color w:val="585857"/>
          <w:sz w:val="20"/>
          <w:szCs w:val="20"/>
        </w:rPr>
      </w:pPr>
      <w:r>
        <w:rPr>
          <w:color w:val="585857"/>
          <w:sz w:val="20"/>
          <w:szCs w:val="20"/>
        </w:rPr>
      </w:r>
    </w:p>
    <w:p>
      <w:pPr>
        <w:pStyle w:val="ListBullet"/>
        <w:numPr>
          <w:ilvl w:val="0"/>
          <w:numId w:val="0"/>
        </w:numPr>
        <w:spacing w:lineRule="auto" w:line="360" w:before="0" w:after="40"/>
        <w:ind w:left="360" w:right="0" w:hanging="0"/>
        <w:contextualSpacing/>
        <w:jc w:val="both"/>
        <w:rPr>
          <w:color w:val="585857"/>
          <w:sz w:val="20"/>
          <w:szCs w:val="20"/>
        </w:rPr>
      </w:pPr>
      <w:r>
        <w:rPr>
          <w:color w:val="585857"/>
          <w:sz w:val="20"/>
          <w:szCs w:val="20"/>
        </w:rPr>
      </w:r>
    </w:p>
    <w:p>
      <w:pPr>
        <w:pStyle w:val="Heading2"/>
        <w:spacing w:lineRule="auto" w:line="360"/>
        <w:rPr/>
      </w:pPr>
      <w:r>
        <w:rPr/>
        <w:t>Pupil Support, Behaviour and Safeguarding</w:t>
      </w:r>
    </w:p>
    <w:p>
      <w:pPr>
        <w:pStyle w:val="ListBullet"/>
        <w:numPr>
          <w:ilvl w:val="0"/>
          <w:numId w:val="4"/>
        </w:numPr>
        <w:spacing w:lineRule="auto" w:line="360" w:before="0" w:after="40"/>
        <w:contextualSpacing/>
        <w:jc w:val="both"/>
        <w:rPr>
          <w:color w:val="585857"/>
        </w:rPr>
      </w:pPr>
      <w:r>
        <w:rPr>
          <w:color w:val="585857"/>
        </w:rPr>
        <w:t>Promote the inclusion, dignity and acceptance of all pupils within the classroom, wider school/college and community.</w:t>
      </w:r>
    </w:p>
    <w:p>
      <w:pPr>
        <w:pStyle w:val="ListBullet"/>
        <w:numPr>
          <w:ilvl w:val="0"/>
          <w:numId w:val="4"/>
        </w:numPr>
        <w:spacing w:lineRule="auto" w:line="360" w:before="0" w:after="40"/>
        <w:contextualSpacing/>
        <w:jc w:val="both"/>
        <w:rPr>
          <w:color w:val="585857"/>
        </w:rPr>
      </w:pPr>
      <w:r>
        <w:rPr>
          <w:color w:val="585857"/>
        </w:rPr>
        <w:t>Follow the school/college behaviour policy and individual pupil plans to anticipate, de-escalate and manage behaviour constructively, promoting self-control and independence.</w:t>
      </w:r>
    </w:p>
    <w:p>
      <w:pPr>
        <w:pStyle w:val="ListBullet"/>
        <w:numPr>
          <w:ilvl w:val="0"/>
          <w:numId w:val="4"/>
        </w:numPr>
        <w:spacing w:lineRule="auto" w:line="360" w:before="0" w:after="40"/>
        <w:contextualSpacing/>
        <w:jc w:val="both"/>
        <w:rPr>
          <w:color w:val="585857"/>
        </w:rPr>
      </w:pPr>
      <w:r>
        <w:rPr>
          <w:color w:val="585857"/>
        </w:rPr>
        <w:t>Support pupils with complex social, emotional, communication, sensory, physical, medical and personal care needs, including moving and handling where trained and authorised.</w:t>
      </w:r>
    </w:p>
    <w:p>
      <w:pPr>
        <w:pStyle w:val="ListBullet"/>
        <w:numPr>
          <w:ilvl w:val="0"/>
          <w:numId w:val="4"/>
        </w:numPr>
        <w:spacing w:lineRule="auto" w:line="360" w:before="0" w:after="40"/>
        <w:contextualSpacing/>
        <w:jc w:val="both"/>
        <w:rPr>
          <w:color w:val="585857"/>
        </w:rPr>
      </w:pPr>
      <w:r>
        <w:rPr>
          <w:color w:val="585857"/>
        </w:rPr>
        <w:t>Maintain a safe learning environment and follow all safeguarding, child protection, health and safety, intimate care, medication and data protection procedures.</w:t>
      </w:r>
    </w:p>
    <w:p>
      <w:pPr>
        <w:pStyle w:val="ListBullet"/>
        <w:numPr>
          <w:ilvl w:val="0"/>
          <w:numId w:val="4"/>
        </w:numPr>
        <w:spacing w:lineRule="auto" w:line="360" w:before="0" w:after="40"/>
        <w:contextualSpacing/>
        <w:jc w:val="both"/>
        <w:rPr>
          <w:color w:val="585857"/>
        </w:rPr>
      </w:pPr>
      <w:r>
        <w:rPr>
          <w:color w:val="585857"/>
        </w:rPr>
        <w:t>Report concerns promptly in line with Trust and school/college safeguarding procedures.</w:t>
      </w:r>
    </w:p>
    <w:p>
      <w:pPr>
        <w:pStyle w:val="ListBullet"/>
        <w:numPr>
          <w:ilvl w:val="0"/>
          <w:numId w:val="0"/>
        </w:numPr>
        <w:spacing w:lineRule="auto" w:line="360" w:before="0" w:after="40"/>
        <w:ind w:left="360" w:right="0" w:hanging="0"/>
        <w:contextualSpacing/>
        <w:jc w:val="both"/>
        <w:rPr>
          <w:color w:val="585857"/>
        </w:rPr>
      </w:pPr>
      <w:r>
        <w:rPr>
          <w:color w:val="585857"/>
        </w:rPr>
      </w:r>
    </w:p>
    <w:p>
      <w:pPr>
        <w:pStyle w:val="ListBullet"/>
        <w:numPr>
          <w:ilvl w:val="0"/>
          <w:numId w:val="0"/>
        </w:numPr>
        <w:spacing w:lineRule="auto" w:line="360" w:before="0" w:after="40"/>
        <w:ind w:left="360" w:right="0" w:hanging="0"/>
        <w:contextualSpacing/>
        <w:jc w:val="both"/>
        <w:rPr>
          <w:color w:val="585857"/>
        </w:rPr>
      </w:pPr>
      <w:r>
        <w:rPr>
          <w:color w:val="585857"/>
        </w:rPr>
      </w:r>
    </w:p>
    <w:p>
      <w:pPr>
        <w:pStyle w:val="Heading2"/>
        <w:spacing w:lineRule="auto" w:line="360"/>
        <w:rPr/>
      </w:pPr>
      <w:r>
        <w:rPr/>
        <w:t>Teamwork, Communication and Wider contribution</w:t>
      </w:r>
    </w:p>
    <w:p>
      <w:pPr>
        <w:pStyle w:val="ListBullet"/>
        <w:numPr>
          <w:ilvl w:val="0"/>
          <w:numId w:val="3"/>
        </w:numPr>
        <w:spacing w:lineRule="auto" w:line="360" w:before="0" w:after="40"/>
        <w:contextualSpacing/>
        <w:jc w:val="both"/>
        <w:rPr>
          <w:color w:val="585857"/>
        </w:rPr>
      </w:pPr>
      <w:r>
        <w:rPr>
          <w:color w:val="585857"/>
        </w:rPr>
        <w:t>Liaise effectively with teachers, line managers, teaching assistants and other colleagues to create a successful learning environment for all pupils.</w:t>
      </w:r>
    </w:p>
    <w:p>
      <w:pPr>
        <w:pStyle w:val="ListBullet"/>
        <w:numPr>
          <w:ilvl w:val="0"/>
          <w:numId w:val="3"/>
        </w:numPr>
        <w:spacing w:lineRule="auto" w:line="360" w:before="0" w:after="40"/>
        <w:contextualSpacing/>
        <w:jc w:val="both"/>
        <w:rPr>
          <w:color w:val="585857"/>
        </w:rPr>
      </w:pPr>
      <w:r>
        <w:rPr>
          <w:color w:val="585857"/>
        </w:rPr>
        <w:t>Provide appropriate direction and support to teaching assistants during cover sessions, where required, in line with agreed classroom roles and responsibilities.</w:t>
      </w:r>
    </w:p>
    <w:p>
      <w:pPr>
        <w:pStyle w:val="ListBullet"/>
        <w:numPr>
          <w:ilvl w:val="0"/>
          <w:numId w:val="3"/>
        </w:numPr>
        <w:spacing w:lineRule="auto" w:line="360" w:before="0" w:after="40"/>
        <w:contextualSpacing/>
        <w:jc w:val="both"/>
        <w:rPr>
          <w:color w:val="585857"/>
        </w:rPr>
      </w:pPr>
      <w:r>
        <w:rPr>
          <w:color w:val="585857"/>
        </w:rPr>
        <w:t>Establish constructive relationships and communicate effectively with parents/carers, other agencies and professionals, in liaison with the teacher or line manager.</w:t>
      </w:r>
    </w:p>
    <w:p>
      <w:pPr>
        <w:pStyle w:val="ListBullet"/>
        <w:numPr>
          <w:ilvl w:val="0"/>
          <w:numId w:val="3"/>
        </w:numPr>
        <w:spacing w:lineRule="auto" w:line="360" w:before="0" w:after="40"/>
        <w:contextualSpacing/>
        <w:jc w:val="both"/>
        <w:rPr>
          <w:color w:val="585857"/>
        </w:rPr>
      </w:pPr>
      <w:r>
        <w:rPr>
          <w:color w:val="585857"/>
        </w:rPr>
        <w:t>Contribute to meetings with parents/carers and professionals by providing constructive feedback on pupil progress and achievement, where required.</w:t>
      </w:r>
    </w:p>
    <w:p>
      <w:pPr>
        <w:pStyle w:val="ListBullet"/>
        <w:numPr>
          <w:ilvl w:val="0"/>
          <w:numId w:val="3"/>
        </w:numPr>
        <w:spacing w:lineRule="auto" w:line="360" w:before="0" w:after="40"/>
        <w:contextualSpacing/>
        <w:jc w:val="both"/>
        <w:rPr>
          <w:color w:val="585857"/>
        </w:rPr>
      </w:pPr>
      <w:r>
        <w:rPr>
          <w:color w:val="585857"/>
        </w:rPr>
        <w:t>Support extra-curricular activities, educational visits and wider school/college activities within agreed policies and risk assessments.</w:t>
      </w:r>
    </w:p>
    <w:p>
      <w:pPr>
        <w:pStyle w:val="ListBullet"/>
        <w:numPr>
          <w:ilvl w:val="0"/>
          <w:numId w:val="3"/>
        </w:numPr>
        <w:spacing w:lineRule="auto" w:line="360" w:before="0" w:after="40"/>
        <w:contextualSpacing/>
        <w:jc w:val="both"/>
        <w:rPr>
          <w:color w:val="585857"/>
        </w:rPr>
      </w:pPr>
      <w:r>
        <w:rPr>
          <w:color w:val="585857"/>
        </w:rPr>
        <w:t>Contribute to raising standards by following Trust and school/college policies and supporting the ethos, values and aims of the school/college.</w:t>
      </w:r>
    </w:p>
    <w:p>
      <w:pPr>
        <w:pStyle w:val="ListBullet"/>
        <w:numPr>
          <w:ilvl w:val="0"/>
          <w:numId w:val="3"/>
        </w:numPr>
        <w:spacing w:lineRule="auto" w:line="360" w:before="0" w:after="40"/>
        <w:contextualSpacing/>
        <w:jc w:val="both"/>
        <w:rPr>
          <w:color w:val="585857"/>
        </w:rPr>
      </w:pPr>
      <w:r>
        <w:rPr>
          <w:color w:val="585857"/>
        </w:rPr>
        <w:t>Attend training, supervision and professional development relevant to the role and the needs of pupils.</w:t>
      </w:r>
    </w:p>
    <w:p>
      <w:pPr>
        <w:pStyle w:val="ListBullet"/>
        <w:numPr>
          <w:ilvl w:val="0"/>
          <w:numId w:val="0"/>
        </w:numPr>
        <w:spacing w:lineRule="auto" w:line="360" w:before="0" w:after="40"/>
        <w:ind w:left="0" w:right="0" w:hanging="0"/>
        <w:contextualSpacing/>
        <w:jc w:val="both"/>
        <w:rPr>
          <w:color w:val="585857"/>
        </w:rPr>
      </w:pPr>
      <w:r>
        <w:rPr>
          <w:color w:val="585857"/>
        </w:rPr>
      </w:r>
    </w:p>
    <w:p>
      <w:pPr>
        <w:pStyle w:val="ListBullet"/>
        <w:numPr>
          <w:ilvl w:val="0"/>
          <w:numId w:val="0"/>
        </w:numPr>
        <w:spacing w:lineRule="auto" w:line="360" w:before="0" w:after="40"/>
        <w:ind w:left="0" w:right="0" w:hanging="0"/>
        <w:contextualSpacing/>
        <w:jc w:val="both"/>
        <w:rPr>
          <w:color w:val="585857"/>
        </w:rPr>
      </w:pPr>
      <w:r>
        <w:rPr>
          <w:color w:val="585857"/>
        </w:rPr>
      </w:r>
    </w:p>
    <w:p>
      <w:pPr>
        <w:pStyle w:val="ListBullet"/>
        <w:numPr>
          <w:ilvl w:val="0"/>
          <w:numId w:val="0"/>
        </w:numPr>
        <w:spacing w:lineRule="auto" w:line="360" w:before="0" w:after="40"/>
        <w:ind w:left="0" w:right="0" w:hanging="0"/>
        <w:contextualSpacing/>
        <w:jc w:val="both"/>
        <w:rPr>
          <w:color w:val="585857"/>
        </w:rPr>
      </w:pPr>
      <w:r>
        <w:rPr>
          <w:color w:val="585857"/>
        </w:rPr>
      </w:r>
    </w:p>
    <w:p>
      <w:pPr>
        <w:pStyle w:val="ListBullet"/>
        <w:numPr>
          <w:ilvl w:val="0"/>
          <w:numId w:val="0"/>
        </w:numPr>
        <w:spacing w:lineRule="auto" w:line="360" w:before="0" w:after="40"/>
        <w:ind w:left="0" w:right="0" w:hanging="0"/>
        <w:contextualSpacing/>
        <w:jc w:val="both"/>
        <w:rPr>
          <w:color w:val="585857"/>
        </w:rPr>
      </w:pPr>
      <w:r>
        <w:rPr>
          <w:color w:val="585857"/>
        </w:rPr>
      </w:r>
    </w:p>
    <w:p>
      <w:pPr>
        <w:pStyle w:val="ListBullet"/>
        <w:numPr>
          <w:ilvl w:val="0"/>
          <w:numId w:val="0"/>
        </w:numPr>
        <w:spacing w:lineRule="auto" w:line="360" w:before="0" w:after="40"/>
        <w:ind w:left="0" w:right="0" w:hanging="0"/>
        <w:contextualSpacing/>
        <w:jc w:val="both"/>
        <w:rPr>
          <w:color w:val="585857"/>
        </w:rPr>
      </w:pPr>
      <w:r>
        <w:rPr>
          <w:color w:val="585857"/>
        </w:rPr>
      </w:r>
    </w:p>
    <w:p>
      <w:pPr>
        <w:pStyle w:val="ListBullet"/>
        <w:numPr>
          <w:ilvl w:val="0"/>
          <w:numId w:val="0"/>
        </w:numPr>
        <w:spacing w:lineRule="auto" w:line="360" w:before="0" w:after="40"/>
        <w:ind w:left="0" w:right="0" w:hanging="0"/>
        <w:contextualSpacing/>
        <w:jc w:val="both"/>
        <w:rPr>
          <w:color w:val="585857"/>
        </w:rPr>
      </w:pPr>
      <w:r>
        <w:rPr>
          <w:color w:val="585857"/>
        </w:rPr>
      </w:r>
    </w:p>
    <w:p>
      <w:pPr>
        <w:pStyle w:val="ListBullet"/>
        <w:numPr>
          <w:ilvl w:val="0"/>
          <w:numId w:val="0"/>
        </w:numPr>
        <w:spacing w:lineRule="auto" w:line="360" w:before="0" w:after="40"/>
        <w:ind w:left="0" w:right="0" w:hanging="0"/>
        <w:contextualSpacing/>
        <w:jc w:val="both"/>
        <w:rPr>
          <w:color w:val="585857"/>
        </w:rPr>
      </w:pPr>
      <w:r>
        <w:rPr>
          <w:color w:val="585857"/>
        </w:rPr>
      </w:r>
    </w:p>
    <w:p>
      <w:pPr>
        <w:pStyle w:val="ListBullet"/>
        <w:numPr>
          <w:ilvl w:val="0"/>
          <w:numId w:val="0"/>
        </w:numPr>
        <w:spacing w:lineRule="auto" w:line="360" w:before="0" w:after="40"/>
        <w:ind w:left="0" w:right="0" w:hanging="0"/>
        <w:contextualSpacing/>
        <w:jc w:val="both"/>
        <w:rPr>
          <w:color w:val="585857"/>
        </w:rPr>
      </w:pPr>
      <w:r>
        <w:rPr>
          <w:color w:val="585857"/>
        </w:rPr>
      </w:r>
    </w:p>
    <w:p>
      <w:pPr>
        <w:pStyle w:val="ListBullet"/>
        <w:numPr>
          <w:ilvl w:val="0"/>
          <w:numId w:val="0"/>
        </w:numPr>
        <w:spacing w:lineRule="auto" w:line="360" w:before="0" w:after="40"/>
        <w:ind w:left="0" w:right="0" w:hanging="0"/>
        <w:contextualSpacing/>
        <w:jc w:val="both"/>
        <w:rPr>
          <w:color w:val="585857"/>
        </w:rPr>
      </w:pPr>
      <w:r>
        <w:rPr>
          <w:color w:val="585857"/>
        </w:rPr>
      </w:r>
    </w:p>
    <w:p>
      <w:pPr>
        <w:pStyle w:val="ListBullet"/>
        <w:numPr>
          <w:ilvl w:val="0"/>
          <w:numId w:val="0"/>
        </w:numPr>
        <w:spacing w:lineRule="auto" w:line="360" w:before="0" w:after="40"/>
        <w:ind w:left="0" w:right="0" w:hanging="0"/>
        <w:contextualSpacing/>
        <w:jc w:val="both"/>
        <w:rPr>
          <w:color w:val="585857"/>
        </w:rPr>
      </w:pPr>
      <w:r>
        <w:rPr>
          <w:color w:val="585857"/>
        </w:rPr>
      </w:r>
    </w:p>
    <w:p>
      <w:pPr>
        <w:pStyle w:val="ListBullet"/>
        <w:numPr>
          <w:ilvl w:val="0"/>
          <w:numId w:val="0"/>
        </w:numPr>
        <w:spacing w:lineRule="auto" w:line="360" w:before="0" w:after="40"/>
        <w:ind w:left="0" w:right="0" w:hanging="0"/>
        <w:contextualSpacing/>
        <w:jc w:val="both"/>
        <w:rPr>
          <w:color w:val="585857"/>
        </w:rPr>
      </w:pPr>
      <w:r>
        <w:rPr>
          <w:color w:val="585857"/>
        </w:rPr>
      </w:r>
    </w:p>
    <w:p>
      <w:pPr>
        <w:pStyle w:val="ListBullet"/>
        <w:numPr>
          <w:ilvl w:val="0"/>
          <w:numId w:val="0"/>
        </w:numPr>
        <w:spacing w:lineRule="auto" w:line="360" w:before="0" w:after="40"/>
        <w:ind w:left="0" w:right="0" w:hanging="0"/>
        <w:contextualSpacing/>
        <w:jc w:val="both"/>
        <w:rPr>
          <w:color w:val="585857"/>
        </w:rPr>
      </w:pPr>
      <w:r>
        <w:rPr>
          <w:color w:val="585857"/>
        </w:rPr>
      </w:r>
    </w:p>
    <w:p>
      <w:pPr>
        <w:pStyle w:val="ListBullet"/>
        <w:numPr>
          <w:ilvl w:val="0"/>
          <w:numId w:val="0"/>
        </w:numPr>
        <w:spacing w:lineRule="auto" w:line="360" w:before="0" w:after="40"/>
        <w:ind w:left="0" w:right="0" w:hanging="0"/>
        <w:contextualSpacing/>
        <w:jc w:val="both"/>
        <w:rPr>
          <w:color w:val="585857"/>
        </w:rPr>
      </w:pPr>
      <w:r>
        <w:rPr>
          <w:color w:val="585857"/>
        </w:rPr>
      </w:r>
    </w:p>
    <w:p>
      <w:pPr>
        <w:pStyle w:val="ListBullet"/>
        <w:numPr>
          <w:ilvl w:val="0"/>
          <w:numId w:val="0"/>
        </w:numPr>
        <w:spacing w:lineRule="auto" w:line="360" w:before="0" w:after="40"/>
        <w:ind w:left="0" w:right="0" w:hanging="0"/>
        <w:contextualSpacing/>
        <w:jc w:val="both"/>
        <w:rPr>
          <w:color w:val="585857"/>
        </w:rPr>
      </w:pPr>
      <w:r>
        <w:rPr>
          <w:color w:val="585857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rPr>
          <w:rFonts w:ascii="Century Gothic" w:hAnsi="Century Gothic" w:cs="Century Gothic"/>
          <w:b/>
          <w:b/>
          <w:color w:val="0C9DD9"/>
          <w:sz w:val="22"/>
          <w:lang w:val="en-GB" w:eastAsia="en-GB"/>
        </w:rPr>
      </w:pPr>
      <w:r>
        <w:rPr>
          <w:rFonts w:cs="Century Gothic" w:ascii="Century Gothic" w:hAnsi="Century Gothic"/>
          <w:b/>
          <w:color w:val="0C9DD9"/>
          <w:sz w:val="22"/>
          <w:lang w:val="en-GB" w:eastAsia="en-GB"/>
        </w:rPr>
        <w:t xml:space="preserve">Person Specification </w:t>
      </w:r>
    </w:p>
    <w:tbl>
      <w:tblPr>
        <w:tblW w:w="97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3829"/>
        <w:gridCol w:w="2835"/>
        <w:gridCol w:w="425"/>
        <w:gridCol w:w="426"/>
        <w:gridCol w:w="506"/>
      </w:tblGrid>
      <w:tr>
        <w:trPr>
          <w:trHeight w:val="1459" w:hRule="atLeast"/>
          <w:cantSplit w:val="true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360" w:before="0" w:after="240"/>
              <w:jc w:val="left"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Attributes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360" w:before="0" w:after="240"/>
              <w:jc w:val="left"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Essential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360" w:before="0" w:after="240"/>
              <w:jc w:val="left"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Desirable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before="0" w:after="240"/>
              <w:ind w:left="113" w:right="113" w:hanging="0"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 xml:space="preserve">Application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before="0" w:after="240"/>
              <w:ind w:left="113" w:right="113" w:hanging="0"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Observation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before="0" w:after="240"/>
              <w:ind w:left="113" w:right="113" w:hanging="0"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Interview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360" w:before="0" w:after="240"/>
              <w:jc w:val="left"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Qualifications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 xml:space="preserve">Relevant TA4 qualification or equivalent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 xml:space="preserve">Up-to-date safeguarding training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Additional CPD undertaken specifically on supporting pupils with SEN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 xml:space="preserve">Relevant subject   Qualifications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 xml:space="preserve">SEN specialism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Knowledge and understanding of a trauma-informed way of working in schools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A knowledge and understanding of working with SEND students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Attachment awareness and the ability to put knowledge into practice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 xml:space="preserve">TA4 or HLTA qualification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 xml:space="preserve">Willing to undertake TA4 qualification upon starting the role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360" w:before="0" w:after="240"/>
              <w:jc w:val="left"/>
              <w:rPr>
                <w:rFonts w:ascii="Wingdings" w:hAnsi="Wingdings" w:eastAsia="Wingdings" w:cs="Wingdings"/>
                <w:bCs w:val="false"/>
                <w:color w:val="585857"/>
                <w:lang w:val="en-GB" w:eastAsia="en-GB"/>
              </w:rPr>
            </w:pPr>
            <w:r>
              <w:rPr>
                <w:rFonts w:eastAsia="Wingdings" w:cs="Wingdings" w:ascii="Wingdings" w:hAnsi="Wingdings"/>
                <w:bCs w:val="false"/>
                <w:color w:val="585857"/>
                <w:lang w:val="en-GB" w:eastAsia="en-GB"/>
              </w:rPr>
              <w:t>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40"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360" w:before="0" w:after="240"/>
              <w:jc w:val="left"/>
              <w:rPr>
                <w:rFonts w:ascii="Wingdings" w:hAnsi="Wingdings" w:eastAsia="Wingdings" w:cs="Wingdings"/>
                <w:bCs w:val="false"/>
                <w:color w:val="585857"/>
                <w:lang w:val="en-GB" w:eastAsia="en-GB"/>
              </w:rPr>
            </w:pPr>
            <w:r>
              <w:rPr>
                <w:rFonts w:eastAsia="Wingdings" w:cs="Wingdings" w:ascii="Wingdings" w:hAnsi="Wingdings"/>
                <w:bCs w:val="false"/>
                <w:color w:val="585857"/>
                <w:lang w:val="en-GB" w:eastAsia="en-GB"/>
              </w:rPr>
              <w:t>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360" w:before="0" w:after="240"/>
              <w:jc w:val="left"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Experience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Experience or expertise in SEN starting at Entry Level qualifications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Experience in maintaining a high-quality, safe and stimulating learning environment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Ability to teach using a wide variety of strategies to maximise achievement for all children, including those with special educational needs and high achievers and to meet differing learning styles.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Experience in creating and maintaining effective partnerships with parents to support pupils’ learning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Experience of working up to GCSE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Experience of teaching a variety of pupils with SEND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Experience of using de-escalation strategies outlined by Team Teach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Specific examples of maintaining high expectations to allow all pupils to fulfil their full potential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360" w:before="0" w:after="240"/>
              <w:jc w:val="left"/>
              <w:rPr>
                <w:rFonts w:ascii="Wingdings" w:hAnsi="Wingdings" w:eastAsia="Wingdings" w:cs="Wingdings"/>
                <w:bCs w:val="false"/>
                <w:color w:val="585857"/>
                <w:lang w:val="en-GB" w:eastAsia="en-GB"/>
              </w:rPr>
            </w:pPr>
            <w:r>
              <w:rPr>
                <w:rFonts w:eastAsia="Wingdings" w:cs="Wingdings" w:ascii="Wingdings" w:hAnsi="Wingdings"/>
                <w:bCs w:val="false"/>
                <w:color w:val="585857"/>
                <w:lang w:val="en-GB" w:eastAsia="en-GB"/>
              </w:rPr>
              <w:t>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360" w:before="0" w:after="240"/>
              <w:jc w:val="left"/>
              <w:rPr>
                <w:rFonts w:ascii="Wingdings" w:hAnsi="Wingdings" w:eastAsia="Wingdings" w:cs="Wingdings"/>
                <w:bCs w:val="false"/>
                <w:color w:val="585857"/>
                <w:lang w:val="en-GB" w:eastAsia="en-GB"/>
              </w:rPr>
            </w:pPr>
            <w:r>
              <w:rPr>
                <w:rFonts w:eastAsia="Wingdings" w:cs="Wingdings" w:ascii="Wingdings" w:hAnsi="Wingdings"/>
                <w:bCs w:val="false"/>
                <w:color w:val="585857"/>
                <w:lang w:val="en-GB" w:eastAsia="en-GB"/>
              </w:rPr>
              <w:t>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360" w:before="0" w:after="240"/>
              <w:jc w:val="left"/>
              <w:rPr>
                <w:rFonts w:ascii="Wingdings" w:hAnsi="Wingdings" w:eastAsia="Wingdings" w:cs="Wingdings"/>
                <w:bCs w:val="false"/>
                <w:color w:val="585857"/>
                <w:lang w:val="en-GB" w:eastAsia="en-GB"/>
              </w:rPr>
            </w:pPr>
            <w:r>
              <w:rPr>
                <w:rFonts w:eastAsia="Wingdings" w:cs="Wingdings" w:ascii="Wingdings" w:hAnsi="Wingdings"/>
                <w:bCs w:val="false"/>
                <w:color w:val="585857"/>
                <w:lang w:val="en-GB" w:eastAsia="en-GB"/>
              </w:rPr>
              <w:t>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360" w:before="0" w:after="240"/>
              <w:jc w:val="left"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Professional Understanding, Knowledge and skills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Knowledge of how the curriculum can be adapted to meet the needs of pupils with a range of SEN relevant to the age range of the school, including assessment, recording and reporting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An in-depth knowledge and understanding of safeguarding and how to promote the wellbeing of pupils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Awareness of the Education Acts and the SEND code of practice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Experience working with other agencies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 xml:space="preserve">Experience working collaboratively with other schools, universities and organisations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 xml:space="preserve">Sound knowledge of assessment and scaffolding </w:t>
            </w:r>
          </w:p>
          <w:p>
            <w:pPr>
              <w:pStyle w:val="Normal"/>
              <w:spacing w:before="0" w:after="240"/>
              <w:ind w:left="360" w:right="0" w:hanging="0"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360" w:before="0" w:after="240"/>
              <w:jc w:val="left"/>
              <w:rPr>
                <w:rFonts w:ascii="Wingdings" w:hAnsi="Wingdings" w:eastAsia="Wingdings" w:cs="Wingdings"/>
                <w:bCs w:val="false"/>
                <w:color w:val="585857"/>
                <w:lang w:val="en-GB" w:eastAsia="en-GB"/>
              </w:rPr>
            </w:pPr>
            <w:r>
              <w:rPr>
                <w:rFonts w:eastAsia="Wingdings" w:cs="Wingdings" w:ascii="Wingdings" w:hAnsi="Wingdings"/>
                <w:bCs w:val="false"/>
                <w:color w:val="585857"/>
                <w:lang w:val="en-GB" w:eastAsia="en-GB"/>
              </w:rPr>
              <w:t>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40"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360" w:before="0" w:after="240"/>
              <w:jc w:val="left"/>
              <w:rPr>
                <w:rFonts w:ascii="Wingdings" w:hAnsi="Wingdings" w:eastAsia="Wingdings" w:cs="Wingdings"/>
                <w:bCs w:val="false"/>
                <w:color w:val="585857"/>
                <w:lang w:val="en-GB" w:eastAsia="en-GB"/>
              </w:rPr>
            </w:pPr>
            <w:r>
              <w:rPr>
                <w:rFonts w:eastAsia="Wingdings" w:cs="Wingdings" w:ascii="Wingdings" w:hAnsi="Wingdings"/>
                <w:bCs w:val="false"/>
                <w:color w:val="585857"/>
                <w:lang w:val="en-GB" w:eastAsia="en-GB"/>
              </w:rPr>
              <w:t>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360" w:before="0" w:after="240"/>
              <w:jc w:val="left"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Teaching and Learning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 xml:space="preserve">A passion for working with young children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Practical understanding of effective teaching and evaluation strategies for pupils with SEN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 xml:space="preserve">Recent experience of teaching in KS3 and KS4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Able to differentiate learning objectives to meet the needs of all levels of ability in the class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Proactive in solving problems and solution-focused during lessons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Creative in approach to planning and delivering lessons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 xml:space="preserve">Able to manage pupil behaviour effectively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>Able to use ICT to advance pupils’ learning and use common ICT tools for their own and pupils’ benefit.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before="0" w:after="240"/>
              <w:contextualSpacing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  <w:t xml:space="preserve">Previous experience of delivering lessons to KS3 and above up to and including college provision </w:t>
            </w:r>
          </w:p>
          <w:p>
            <w:pPr>
              <w:pStyle w:val="Normal"/>
              <w:spacing w:before="0" w:after="240"/>
              <w:rPr>
                <w:bCs w:val="false"/>
                <w:color w:val="585857"/>
                <w:lang w:val="en-GB" w:eastAsia="en-GB"/>
              </w:rPr>
            </w:pPr>
            <w:r>
              <w:rPr>
                <w:bCs w:val="false"/>
                <w:color w:val="585857"/>
                <w:lang w:val="en-GB" w:eastAsia="en-GB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360" w:before="0" w:after="240"/>
              <w:jc w:val="left"/>
              <w:rPr>
                <w:rFonts w:ascii="Wingdings" w:hAnsi="Wingdings" w:eastAsia="Wingdings" w:cs="Wingdings"/>
                <w:bCs w:val="false"/>
                <w:color w:val="585857"/>
                <w:lang w:val="en-GB" w:eastAsia="en-GB"/>
              </w:rPr>
            </w:pPr>
            <w:r>
              <w:rPr>
                <w:rFonts w:eastAsia="Wingdings" w:cs="Wingdings" w:ascii="Wingdings" w:hAnsi="Wingdings"/>
                <w:bCs w:val="false"/>
                <w:color w:val="585857"/>
                <w:lang w:val="en-GB" w:eastAsia="en-GB"/>
              </w:rPr>
              <w:t>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360" w:before="0" w:after="240"/>
              <w:jc w:val="left"/>
              <w:rPr>
                <w:rFonts w:ascii="Wingdings" w:hAnsi="Wingdings" w:eastAsia="Wingdings" w:cs="Wingdings"/>
                <w:bCs w:val="false"/>
                <w:color w:val="585857"/>
                <w:lang w:val="en-GB" w:eastAsia="en-GB"/>
              </w:rPr>
            </w:pPr>
            <w:r>
              <w:rPr>
                <w:rFonts w:eastAsia="Wingdings" w:cs="Wingdings" w:ascii="Wingdings" w:hAnsi="Wingdings"/>
                <w:bCs w:val="false"/>
                <w:color w:val="585857"/>
                <w:lang w:val="en-GB" w:eastAsia="en-GB"/>
              </w:rPr>
              <w:t>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360" w:before="0" w:after="240"/>
              <w:jc w:val="left"/>
              <w:rPr>
                <w:rFonts w:ascii="Wingdings" w:hAnsi="Wingdings" w:eastAsia="Wingdings" w:cs="Wingdings"/>
                <w:bCs w:val="false"/>
                <w:color w:val="585857"/>
                <w:lang w:val="en-GB" w:eastAsia="en-GB"/>
              </w:rPr>
            </w:pPr>
            <w:r>
              <w:rPr>
                <w:rFonts w:eastAsia="Wingdings" w:cs="Wingdings" w:ascii="Wingdings" w:hAnsi="Wingdings"/>
                <w:bCs w:val="false"/>
                <w:color w:val="585857"/>
                <w:lang w:val="en-GB" w:eastAsia="en-GB"/>
              </w:rPr>
              <w:t>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/>
        <w:ind w:left="0" w:hanging="0"/>
        <w:jc w:val="center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center"/>
        <w:rPr/>
      </w:pPr>
      <w:r>
        <w:rPr/>
        <w:t>This job description may be amended to reflect the evolving needs of the academy and Trust.</w:t>
      </w:r>
    </w:p>
    <w:p>
      <w:pPr>
        <w:pStyle w:val="Normal"/>
        <w:spacing w:before="0" w:after="240"/>
        <w:rPr>
          <w:vanish/>
        </w:rPr>
      </w:pPr>
      <w:r>
        <w:rPr>
          <w:vanish/>
        </w:rPr>
      </w:r>
      <w:bookmarkStart w:id="0" w:name="_PictureBullets"/>
      <w:bookmarkStart w:id="1" w:name="_PictureBullets"/>
      <w:bookmarkEnd w:id="1"/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63" w:right="1021" w:header="720" w:top="1497" w:footer="217" w:bottom="1094" w:gutter="0"/>
      <w:pgNumType w:start="1"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spacing w:lineRule="auto" w:line="288" w:before="0" w:after="113"/>
      <w:jc w:val="right"/>
      <w:rPr>
        <w:rFonts w:ascii="Century Gothic" w:hAnsi="Century Gothic" w:eastAsia="Century Gothic" w:cs="Century Gothic"/>
        <w:b/>
        <w:b/>
        <w:color w:val="13A64C"/>
        <w:sz w:val="28"/>
        <w:szCs w:val="28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margin">
            <wp:posOffset>-5594985</wp:posOffset>
          </wp:positionH>
          <wp:positionV relativeFrom="paragraph">
            <wp:posOffset>-1914525</wp:posOffset>
          </wp:positionV>
          <wp:extent cx="5594985" cy="2627630"/>
          <wp:effectExtent l="0" t="0" r="0" b="0"/>
          <wp:wrapNone/>
          <wp:docPr id="2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3" r="-2" b="-3"/>
                  <a:stretch>
                    <a:fillRect/>
                  </a:stretch>
                </pic:blipFill>
                <pic:spPr bwMode="auto">
                  <a:xfrm>
                    <a:off x="0" y="0"/>
                    <a:ext cx="5594985" cy="2627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entury Gothic" w:cs="Century Gothic" w:ascii="Century Gothic" w:hAnsi="Century Gothic"/>
        <w:b/>
        <w:color w:val="13A64C"/>
        <w:sz w:val="28"/>
        <w:szCs w:val="28"/>
      </w:rPr>
      <w:t>t</w:t>
    </w:r>
    <w:r>
      <w:rPr>
        <w:rFonts w:eastAsia="Century Gothic" w:cs="Century Gothic" w:ascii="Century Gothic" w:hAnsi="Century Gothic"/>
        <w:b/>
        <w:color w:val="13A64C"/>
        <w:sz w:val="28"/>
        <w:szCs w:val="28"/>
      </w:rPr>
      <w:t>hesovereigntrust.uk</w:t>
    </w:r>
  </w:p>
  <w:p>
    <w:pPr>
      <w:pStyle w:val="Normal"/>
      <w:pBdr/>
      <w:spacing w:before="0" w:after="0"/>
      <w:jc w:val="right"/>
      <w:rPr>
        <w:rFonts w:ascii="Times;Times New Roman" w:hAnsi="Times;Times New Roman" w:eastAsia="Times;Times New Roman" w:cs="Times;Times New Roman"/>
        <w:color w:val="000000"/>
        <w:sz w:val="24"/>
        <w:szCs w:val="24"/>
      </w:rPr>
    </w:pPr>
    <w:r>
      <w:rPr>
        <w:rFonts w:eastAsia="Times;Times New Roman" w:cs="Times;Times New Roman" w:ascii="Times;Times New Roman" w:hAnsi="Times;Times New Roman"/>
        <w:color w:val="000000"/>
        <w:sz w:val="24"/>
        <w:szCs w:val="24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spacing w:lineRule="auto" w:line="288" w:before="0" w:after="113"/>
      <w:jc w:val="right"/>
      <w:rPr>
        <w:rFonts w:ascii="Century Gothic" w:hAnsi="Century Gothic" w:eastAsia="Century Gothic" w:cs="Century Gothic"/>
        <w:b/>
        <w:b/>
        <w:color w:val="13A64C"/>
        <w:sz w:val="28"/>
        <w:szCs w:val="28"/>
      </w:rPr>
    </w:pPr>
    <w:r>
      <w:drawing>
        <wp:anchor behindDoc="1" distT="0" distB="0" distL="0" distR="0" simplePos="0" locked="0" layoutInCell="1" allowOverlap="1" relativeHeight="6">
          <wp:simplePos x="0" y="0"/>
          <wp:positionH relativeFrom="margin">
            <wp:posOffset>-5594985</wp:posOffset>
          </wp:positionH>
          <wp:positionV relativeFrom="paragraph">
            <wp:posOffset>-1971675</wp:posOffset>
          </wp:positionV>
          <wp:extent cx="5594985" cy="2627630"/>
          <wp:effectExtent l="0" t="0" r="0" b="0"/>
          <wp:wrapNone/>
          <wp:docPr id="3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3" r="-2" b="-3"/>
                  <a:stretch>
                    <a:fillRect/>
                  </a:stretch>
                </pic:blipFill>
                <pic:spPr bwMode="auto">
                  <a:xfrm>
                    <a:off x="0" y="0"/>
                    <a:ext cx="5594985" cy="2627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entury Gothic" w:cs="Century Gothic" w:ascii="Century Gothic" w:hAnsi="Century Gothic"/>
        <w:b/>
        <w:color w:val="13A64C"/>
        <w:sz w:val="28"/>
        <w:szCs w:val="28"/>
      </w:rPr>
      <w:t>t</w:t>
    </w:r>
    <w:r>
      <w:rPr>
        <w:rFonts w:eastAsia="Century Gothic" w:cs="Century Gothic" w:ascii="Century Gothic" w:hAnsi="Century Gothic"/>
        <w:b/>
        <w:color w:val="13A64C"/>
        <w:sz w:val="28"/>
        <w:szCs w:val="28"/>
      </w:rPr>
      <w:t>hesovereigntrust.uk</w:t>
    </w:r>
  </w:p>
  <w:p>
    <w:pPr>
      <w:pStyle w:val="Normal"/>
      <w:pBdr/>
      <w:spacing w:lineRule="auto" w:line="288" w:before="0" w:after="113"/>
      <w:jc w:val="right"/>
      <w:rPr>
        <w:rFonts w:eastAsia="Arial"/>
        <w:sz w:val="15"/>
        <w:szCs w:val="15"/>
      </w:rPr>
    </w:pPr>
    <w:r>
      <w:rPr>
        <w:rFonts w:eastAsia="Arial"/>
        <w:sz w:val="15"/>
        <w:szCs w:val="15"/>
      </w:rPr>
      <w:t>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360" w:before="0" w:after="240"/>
      <w:jc w:val="left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4279265</wp:posOffset>
          </wp:positionH>
          <wp:positionV relativeFrom="paragraph">
            <wp:posOffset>15875</wp:posOffset>
          </wp:positionV>
          <wp:extent cx="2082800" cy="1065530"/>
          <wp:effectExtent l="0" t="0" r="0" b="0"/>
          <wp:wrapNone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12" r="-6" b="-12"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false"/>
        <w:rFonts w:cs="Symbol"/>
        <w:color w:val="1E9CD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  <w:color w:val="00B0F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  <w:color w:val="00B0F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  <w:color w:val="00B0F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360" w:before="0" w:after="240"/>
      <w:jc w:val="left"/>
    </w:pPr>
    <w:rPr>
      <w:rFonts w:ascii="Arial" w:hAnsi="Arial" w:eastAsia="Times New Roman" w:cs="Arial"/>
      <w:bCs/>
      <w:color w:val="4F5252"/>
      <w:kern w:val="0"/>
      <w:sz w:val="20"/>
      <w:szCs w:val="20"/>
      <w:lang w:val="en-US" w:eastAsia="en-US" w:bidi="ar-SA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lineRule="auto" w:line="240" w:before="240" w:after="240"/>
      <w:outlineLvl w:val="0"/>
    </w:pPr>
    <w:rPr>
      <w:rFonts w:ascii="Century Gothic" w:hAnsi="Century Gothic" w:cs="Times New Roman"/>
      <w:b/>
      <w:color w:val="13A64C"/>
      <w:sz w:val="28"/>
      <w:szCs w:val="28"/>
      <w:lang w:val="en-GB" w:eastAsia="en-GB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lineRule="auto" w:line="240"/>
      <w:outlineLvl w:val="1"/>
    </w:pPr>
    <w:rPr>
      <w:rFonts w:ascii="Century Gothic" w:hAnsi="Century Gothic" w:cs="Times New Roman"/>
      <w:b/>
      <w:color w:val="0C9DD9"/>
      <w:sz w:val="22"/>
      <w:lang w:val="en-GB" w:eastAsia="en-GB"/>
    </w:rPr>
  </w:style>
  <w:style w:type="paragraph" w:styleId="Heading3">
    <w:name w:val="Heading 3"/>
    <w:basedOn w:val="ReferenceIntroLineCenturyGothic"/>
    <w:next w:val="Normal"/>
    <w:qFormat/>
    <w:pPr>
      <w:numPr>
        <w:ilvl w:val="2"/>
        <w:numId w:val="1"/>
      </w:numPr>
      <w:outlineLvl w:val="2"/>
    </w:pPr>
    <w:rPr>
      <w:color w:val="D11317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40"/>
      <w:outlineLvl w:val="5"/>
    </w:pPr>
    <w:rPr>
      <w:b/>
    </w:rPr>
  </w:style>
  <w:style w:type="character" w:styleId="WW8Num1z0">
    <w:name w:val="WW8Num1z0"/>
    <w:qFormat/>
    <w:rPr>
      <w:rFonts w:ascii="Symbol" w:hAnsi="Symbol" w:cs="Symbol"/>
      <w:b w:val="false"/>
      <w:color w:val="1E9CD8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color w:val="00B0F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color w:val="00B0F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color w:val="00B0F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imes New Roman" w:hAnsi="Times New Roman" w:eastAsia="Times New Roman" w:cs="Times New Roman"/>
      <w:bCs/>
      <w:color w:val="4F5252"/>
      <w:sz w:val="18"/>
      <w:szCs w:val="18"/>
      <w:lang w:val="en-US" w:eastAsia="en-US"/>
    </w:rPr>
  </w:style>
  <w:style w:type="character" w:styleId="InternetLink">
    <w:name w:val="Internet Link"/>
    <w:rPr>
      <w:color w:val="0C9DD9"/>
      <w:u w:val="single"/>
    </w:rPr>
  </w:style>
  <w:style w:type="character" w:styleId="UnresolvedMention1">
    <w:name w:val="Unresolved Mention1"/>
    <w:qFormat/>
    <w:rPr>
      <w:color w:val="605E5C"/>
      <w:shd w:fill="E1DFDD" w:val="clear"/>
    </w:rPr>
  </w:style>
  <w:style w:type="character" w:styleId="Pagenumber">
    <w:name w:val="page number"/>
    <w:basedOn w:val="DefaultParagraphFont"/>
    <w:qFormat/>
    <w:rPr/>
  </w:style>
  <w:style w:type="character" w:styleId="Heading2Char">
    <w:name w:val="Heading 2 Char"/>
    <w:qFormat/>
    <w:rPr>
      <w:rFonts w:eastAsia="Times New Roman"/>
      <w:b/>
      <w:bCs/>
      <w:color w:val="0C9DD9"/>
      <w:sz w:val="22"/>
    </w:rPr>
  </w:style>
  <w:style w:type="character" w:styleId="Heading1Char">
    <w:name w:val="Heading 1 Char"/>
    <w:qFormat/>
    <w:rPr>
      <w:rFonts w:eastAsia="Times New Roman"/>
      <w:b/>
      <w:bCs/>
      <w:color w:val="13A64C"/>
      <w:sz w:val="28"/>
      <w:szCs w:val="28"/>
    </w:rPr>
  </w:style>
  <w:style w:type="character" w:styleId="Heading3Char">
    <w:name w:val="Heading 3 Char"/>
    <w:qFormat/>
    <w:rPr>
      <w:rFonts w:ascii="Century Gothic" w:hAnsi="Century Gothic" w:eastAsia="Times New Roman" w:cs="Times New Roman"/>
      <w:b/>
      <w:bCs/>
      <w:color w:val="D11317"/>
      <w:sz w:val="20"/>
      <w:szCs w:val="20"/>
      <w:lang w:eastAsia="en-GB"/>
    </w:rPr>
  </w:style>
  <w:style w:type="character" w:styleId="FootnoteTextChar">
    <w:name w:val="Footnote Text Char"/>
    <w:qFormat/>
    <w:rPr>
      <w:rFonts w:ascii="Arial" w:hAnsi="Arial" w:eastAsia="Times New Roman" w:cs="Arial"/>
      <w:bCs/>
      <w:color w:val="4C4C4D"/>
      <w:spacing w:val="-2"/>
      <w:sz w:val="20"/>
      <w:szCs w:val="20"/>
      <w:lang w:val="en-US"/>
    </w:rPr>
  </w:style>
  <w:style w:type="character" w:styleId="FootnoteCharacters">
    <w:name w:val="Footnote Characters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Spellingerror">
    <w:name w:val="spellingerror"/>
    <w:basedOn w:val="DefaultParagraphFont"/>
    <w:qFormat/>
    <w:rPr/>
  </w:style>
  <w:style w:type="character" w:styleId="Normaltextrun">
    <w:name w:val="normaltextrun"/>
    <w:basedOn w:val="DefaultParagraphFont"/>
    <w:qFormat/>
    <w:rPr/>
  </w:style>
  <w:style w:type="character" w:styleId="HeaderChar">
    <w:name w:val="Header Char"/>
    <w:basedOn w:val="DefaultParagraphFont"/>
    <w:qFormat/>
    <w:rPr>
      <w:rFonts w:ascii="Arial" w:hAnsi="Arial" w:eastAsia="Times New Roman" w:cs="Arial"/>
      <w:bCs/>
      <w:color w:val="4F5252"/>
      <w:lang w:val="en-US" w:eastAsia="en-US"/>
    </w:rPr>
  </w:style>
  <w:style w:type="character" w:styleId="FooterChar">
    <w:name w:val="Footer Char"/>
    <w:basedOn w:val="DefaultParagraphFont"/>
    <w:qFormat/>
    <w:rPr>
      <w:rFonts w:ascii="Arial" w:hAnsi="Arial" w:eastAsia="Times New Roman" w:cs="Arial"/>
      <w:bCs/>
      <w:color w:val="4F5252"/>
      <w:lang w:val="en-US" w:eastAsia="en-US"/>
    </w:rPr>
  </w:style>
  <w:style w:type="character" w:styleId="1bodycopy10ptChar">
    <w:name w:val="1 body copy 10pt Char"/>
    <w:qFormat/>
    <w:rPr>
      <w:rFonts w:eastAsia="MS Mincho" w:cs="Times New Roman"/>
      <w:color w:val="auto"/>
      <w:szCs w:val="24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ReferenceIntroLineCenturyGothic">
    <w:name w:val="Reference/Intro Line Century Gothic"/>
    <w:basedOn w:val="Normal"/>
    <w:next w:val="Normal"/>
    <w:qFormat/>
    <w:pPr/>
    <w:rPr>
      <w:rFonts w:ascii="Century Gothic" w:hAnsi="Century Gothic" w:cs="Times New Roman"/>
      <w:b/>
      <w:color w:val="0C9DD9"/>
      <w:sz w:val="22"/>
      <w:lang w:val="en-GB" w:eastAsia="en-GB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imes New Roman" w:hAnsi="Times New Roman" w:cs="Times New Roman"/>
      <w:sz w:val="18"/>
      <w:szCs w:val="18"/>
    </w:rPr>
  </w:style>
  <w:style w:type="paragraph" w:styleId="SignatureDetails">
    <w:name w:val="Signature Details"/>
    <w:basedOn w:val="ReferenceIntroLineCenturyGothic"/>
    <w:next w:val="Normal"/>
    <w:qFormat/>
    <w:pPr>
      <w:spacing w:lineRule="auto" w:line="240" w:before="0" w:after="240"/>
      <w:contextualSpacing/>
    </w:pPr>
    <w:rPr>
      <w:b w:val="false"/>
    </w:rPr>
  </w:style>
  <w:style w:type="paragraph" w:styleId="SignatureName">
    <w:name w:val="Signature Name"/>
    <w:basedOn w:val="ReferenceIntroLineCenturyGothic"/>
    <w:next w:val="SignatureDetails"/>
    <w:qFormat/>
    <w:pPr>
      <w:spacing w:lineRule="auto" w:line="240" w:before="0" w:after="0"/>
      <w:contextualSpacing/>
    </w:pPr>
    <w:rPr/>
  </w:style>
  <w:style w:type="paragraph" w:styleId="BasicParagraph">
    <w:name w:val="[Basic Paragraph]"/>
    <w:basedOn w:val="Normal"/>
    <w:qFormat/>
    <w:pPr>
      <w:spacing w:lineRule="auto" w:line="288" w:before="0" w:after="0"/>
      <w:textAlignment w:val="center"/>
    </w:pPr>
    <w:rPr>
      <w:rFonts w:ascii="Times;Times New Roman" w:hAnsi="Times;Times New Roman" w:eastAsia="Century Gothic" w:cs="Times;Times New Roman"/>
      <w:bCs w:val="false"/>
      <w:color w:val="000000"/>
      <w:sz w:val="24"/>
      <w:szCs w:val="24"/>
      <w:lang w:val="en-GB"/>
    </w:rPr>
  </w:style>
  <w:style w:type="paragraph" w:styleId="ListParagraph">
    <w:name w:val="List Paragraph"/>
    <w:basedOn w:val="Normal"/>
    <w:qFormat/>
    <w:pPr>
      <w:spacing w:before="0" w:after="240"/>
      <w:ind w:left="720" w:right="0" w:hanging="0"/>
      <w:contextualSpacing/>
    </w:pPr>
    <w:rPr/>
  </w:style>
  <w:style w:type="paragraph" w:styleId="NumberedBullets">
    <w:name w:val="Numbered Bullets"/>
    <w:basedOn w:val="ListParagraph"/>
    <w:qFormat/>
    <w:pPr/>
    <w:rPr>
      <w:szCs w:val="16"/>
    </w:rPr>
  </w:style>
  <w:style w:type="paragraph" w:styleId="Footnote">
    <w:name w:val="Footnote Text"/>
    <w:basedOn w:val="Normal"/>
    <w:pPr>
      <w:spacing w:lineRule="auto" w:line="360"/>
    </w:pPr>
    <w:rPr>
      <w:color w:val="585857"/>
      <w:sz w:val="18"/>
      <w:szCs w:val="18"/>
    </w:rPr>
  </w:style>
  <w:style w:type="paragraph" w:styleId="TOCHeading">
    <w:name w:val="TOC Heading"/>
    <w:basedOn w:val="Heading1"/>
    <w:next w:val="Normal"/>
    <w:qFormat/>
    <w:pPr>
      <w:keepNext w:val="true"/>
      <w:keepLines/>
      <w:numPr>
        <w:ilvl w:val="0"/>
        <w:numId w:val="0"/>
      </w:numPr>
      <w:spacing w:lineRule="auto" w:line="276" w:before="480" w:after="0"/>
    </w:pPr>
    <w:rPr>
      <w:color w:val="1674A1"/>
      <w:lang w:val="en-US" w:eastAsia="en-US"/>
    </w:rPr>
  </w:style>
  <w:style w:type="paragraph" w:styleId="Contents2">
    <w:name w:val="TOC 2"/>
    <w:basedOn w:val="Normal"/>
    <w:next w:val="Normal"/>
    <w:pPr>
      <w:spacing w:before="0" w:after="0"/>
      <w:ind w:left="220" w:right="0" w:hanging="0"/>
    </w:pPr>
    <w:rPr>
      <w:rFonts w:ascii="Century Gothic" w:hAnsi="Century Gothic" w:cs="Century Gothic"/>
      <w:bCs w:val="false"/>
      <w:smallCaps/>
    </w:rPr>
  </w:style>
  <w:style w:type="paragraph" w:styleId="Contents1">
    <w:name w:val="TOC 1"/>
    <w:basedOn w:val="Normal"/>
    <w:next w:val="Normal"/>
    <w:pPr>
      <w:spacing w:before="120" w:after="120"/>
      <w:ind w:left="0" w:right="2345" w:hanging="0"/>
    </w:pPr>
    <w:rPr>
      <w:b/>
      <w:caps/>
      <w:color w:val="0B9C3C"/>
    </w:rPr>
  </w:style>
  <w:style w:type="paragraph" w:styleId="Contents3">
    <w:name w:val="TOC 3"/>
    <w:basedOn w:val="Normal"/>
    <w:next w:val="Normal"/>
    <w:pPr>
      <w:spacing w:before="0" w:after="0"/>
      <w:ind w:left="440" w:right="0" w:hanging="0"/>
    </w:pPr>
    <w:rPr>
      <w:rFonts w:ascii="Century Gothic" w:hAnsi="Century Gothic" w:cs="Century Gothic"/>
      <w:bCs w:val="false"/>
      <w:i/>
      <w:iCs/>
    </w:rPr>
  </w:style>
  <w:style w:type="paragraph" w:styleId="Contents4">
    <w:name w:val="TOC 4"/>
    <w:basedOn w:val="Normal"/>
    <w:next w:val="Normal"/>
    <w:pPr>
      <w:spacing w:before="0" w:after="0"/>
      <w:ind w:left="660" w:right="0" w:hanging="0"/>
    </w:pPr>
    <w:rPr>
      <w:rFonts w:ascii="Century Gothic" w:hAnsi="Century Gothic" w:cs="Century Gothic"/>
      <w:bCs w:val="false"/>
      <w:sz w:val="18"/>
      <w:szCs w:val="18"/>
    </w:rPr>
  </w:style>
  <w:style w:type="paragraph" w:styleId="Contents5">
    <w:name w:val="TOC 5"/>
    <w:basedOn w:val="Normal"/>
    <w:next w:val="Normal"/>
    <w:pPr>
      <w:spacing w:before="0" w:after="0"/>
      <w:ind w:left="880" w:right="0" w:hanging="0"/>
    </w:pPr>
    <w:rPr>
      <w:rFonts w:ascii="Century Gothic" w:hAnsi="Century Gothic" w:cs="Century Gothic"/>
      <w:bCs w:val="false"/>
      <w:sz w:val="18"/>
      <w:szCs w:val="18"/>
    </w:rPr>
  </w:style>
  <w:style w:type="paragraph" w:styleId="Contents6">
    <w:name w:val="TOC 6"/>
    <w:basedOn w:val="Normal"/>
    <w:next w:val="Normal"/>
    <w:pPr>
      <w:spacing w:before="0" w:after="0"/>
      <w:ind w:left="1100" w:right="0" w:hanging="0"/>
    </w:pPr>
    <w:rPr>
      <w:rFonts w:ascii="Century Gothic" w:hAnsi="Century Gothic" w:cs="Century Gothic"/>
      <w:bCs w:val="false"/>
      <w:sz w:val="18"/>
      <w:szCs w:val="18"/>
    </w:rPr>
  </w:style>
  <w:style w:type="paragraph" w:styleId="Contents7">
    <w:name w:val="TOC 7"/>
    <w:basedOn w:val="Normal"/>
    <w:next w:val="Normal"/>
    <w:pPr>
      <w:spacing w:before="0" w:after="0"/>
      <w:ind w:left="1320" w:right="0" w:hanging="0"/>
    </w:pPr>
    <w:rPr>
      <w:rFonts w:ascii="Century Gothic" w:hAnsi="Century Gothic" w:cs="Century Gothic"/>
      <w:bCs w:val="false"/>
      <w:sz w:val="18"/>
      <w:szCs w:val="18"/>
    </w:rPr>
  </w:style>
  <w:style w:type="paragraph" w:styleId="Contents8">
    <w:name w:val="TOC 8"/>
    <w:basedOn w:val="Normal"/>
    <w:next w:val="Normal"/>
    <w:pPr>
      <w:spacing w:before="0" w:after="0"/>
      <w:ind w:left="1540" w:right="0" w:hanging="0"/>
    </w:pPr>
    <w:rPr>
      <w:rFonts w:ascii="Century Gothic" w:hAnsi="Century Gothic" w:cs="Century Gothic"/>
      <w:bCs w:val="false"/>
      <w:sz w:val="18"/>
      <w:szCs w:val="18"/>
    </w:rPr>
  </w:style>
  <w:style w:type="paragraph" w:styleId="Contents9">
    <w:name w:val="TOC 9"/>
    <w:basedOn w:val="Normal"/>
    <w:next w:val="Normal"/>
    <w:pPr>
      <w:spacing w:before="0" w:after="0"/>
      <w:ind w:left="1760" w:right="0" w:hanging="0"/>
    </w:pPr>
    <w:rPr>
      <w:rFonts w:ascii="Century Gothic" w:hAnsi="Century Gothic" w:cs="Century Gothic"/>
      <w:bCs w:val="false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360" w:before="0" w:after="240"/>
      <w:jc w:val="left"/>
    </w:pPr>
    <w:rPr>
      <w:rFonts w:ascii="Arial" w:hAnsi="Arial" w:eastAsia="Times New Roman" w:cs="Arial"/>
      <w:bCs/>
      <w:color w:val="4C4C4D"/>
      <w:spacing w:val="-2"/>
      <w:kern w:val="0"/>
      <w:sz w:val="22"/>
      <w:szCs w:val="20"/>
      <w:lang w:val="en-US" w:eastAsia="en-US" w:bidi="ar-SA"/>
    </w:rPr>
  </w:style>
  <w:style w:type="paragraph" w:styleId="BulletPoints">
    <w:name w:val="Bullet Points"/>
    <w:basedOn w:val="Normal"/>
    <w:qFormat/>
    <w:pPr>
      <w:tabs>
        <w:tab w:val="left" w:pos="720" w:leader="none"/>
      </w:tabs>
      <w:spacing w:before="0" w:after="0"/>
      <w:ind w:left="714" w:right="0" w:hanging="357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bodycopy10pt">
    <w:name w:val="1 body copy 10pt"/>
    <w:basedOn w:val="Normal"/>
    <w:qFormat/>
    <w:pPr>
      <w:spacing w:lineRule="auto" w:line="240" w:before="0" w:after="120"/>
    </w:pPr>
    <w:rPr>
      <w:rFonts w:eastAsia="MS Mincho" w:cs="Times New Roman"/>
      <w:bCs w:val="false"/>
      <w:color w:val="auto"/>
      <w:szCs w:val="24"/>
      <w:lang w:val="en-GB"/>
    </w:rPr>
  </w:style>
  <w:style w:type="paragraph" w:styleId="4Bulletedcopyblue">
    <w:name w:val="4 Bulleted copy blue"/>
    <w:basedOn w:val="Normal"/>
    <w:qFormat/>
    <w:pPr>
      <w:spacing w:lineRule="auto" w:line="240" w:before="0" w:after="60"/>
    </w:pPr>
    <w:rPr>
      <w:rFonts w:eastAsia="MS Mincho"/>
      <w:bCs w:val="false"/>
      <w:color w:val="auto"/>
      <w:lang w:val="en-GB"/>
    </w:rPr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  <w:ind w:left="110" w:right="0" w:hanging="0"/>
    </w:pPr>
    <w:rPr>
      <w:rFonts w:ascii="Calibri" w:hAnsi="Calibri" w:eastAsia="Calibri" w:cs="Calibri"/>
      <w:bCs w:val="false"/>
      <w:color w:val="auto"/>
      <w:sz w:val="22"/>
      <w:szCs w:val="22"/>
    </w:rPr>
  </w:style>
  <w:style w:type="paragraph" w:styleId="Tablecopybulleted">
    <w:name w:val="Table copy bulleted"/>
    <w:basedOn w:val="Normal"/>
    <w:qFormat/>
    <w:pPr>
      <w:keepLines/>
      <w:spacing w:lineRule="auto" w:line="240" w:before="0" w:after="60"/>
    </w:pPr>
    <w:rPr>
      <w:rFonts w:eastAsia="MS Mincho" w:cs="Times New Roman"/>
      <w:bCs w:val="false"/>
      <w:color w:val="auto"/>
      <w:szCs w:val="24"/>
      <w:lang w:val="en-GB"/>
    </w:rPr>
  </w:style>
  <w:style w:type="paragraph" w:styleId="ListBullet">
    <w:name w:val="List Bullet"/>
    <w:basedOn w:val="Normal"/>
    <w:qFormat/>
    <w:pPr>
      <w:spacing w:lineRule="auto" w:line="276" w:before="0" w:after="200"/>
      <w:ind w:left="0" w:right="0" w:hanging="0"/>
      <w:contextualSpacing/>
    </w:pPr>
    <w:rPr>
      <w:rFonts w:eastAsia="" w:cs=""/>
      <w:bCs w:val="false"/>
      <w:color w:val="auto"/>
      <w:sz w:val="19"/>
      <w:szCs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2026-06-05T09:09:00Z</dcterms:created>
  <dc:creator>Ed Longton</dc:creator>
  <dc:description/>
  <dc:language>en-US</dc:language>
  <cp:lastModifiedBy>Green, Sue</cp:lastModifiedBy>
  <cp:lastPrinted>1995-11-21T17:41:00Z</cp:lastPrinted>
  <dcterms:modified xsi:type="dcterms:W3CDTF">2026-06-05T09:09:00Z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GrammarlyDocumentId">
    <vt:lpwstr>4c229647-ae64-4926-a7e4-27b01979ec84</vt:lpwstr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