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40"/>
        <w:rPr/>
      </w:pPr>
      <w:r>
        <w:rPr/>
      </w:r>
    </w:p>
    <w:p>
      <w:pPr>
        <w:pStyle w:val="Normal"/>
        <w:rPr>
          <w:lang w:val="en-GB" w:eastAsia="en-GB"/>
        </w:rPr>
      </w:pPr>
      <w:r>
        <w:rPr>
          <w:lang w:val="en-GB" w:eastAsia="en-GB"/>
        </w:rPr>
      </w:r>
    </w:p>
    <w:p>
      <w:pPr>
        <w:pStyle w:val="Heading1"/>
        <w:spacing w:lineRule="auto" w:line="360"/>
        <w:jc w:val="center"/>
        <w:rPr/>
      </w:pPr>
      <w:r>
        <w:rPr/>
        <w:t>Job Description and Person Specification</w:t>
      </w:r>
    </w:p>
    <w:p>
      <w:pPr>
        <w:pStyle w:val="Heading1"/>
        <w:spacing w:lineRule="auto" w:line="360"/>
        <w:jc w:val="center"/>
        <w:rPr/>
      </w:pPr>
      <w:r>
        <w:rPr/>
        <w:t xml:space="preserve">Teacher of Maths and Science </w:t>
      </w:r>
    </w:p>
    <w:p>
      <w:pPr>
        <w:pStyle w:val="Heading2"/>
        <w:spacing w:lineRule="auto" w:line="360"/>
        <w:jc w:val="both"/>
        <w:rPr/>
      </w:pPr>
      <w:r>
        <w:rPr/>
        <w:t>Purpose of the Role</w:t>
      </w:r>
    </w:p>
    <w:p>
      <w:pPr>
        <w:pStyle w:val="Normal"/>
        <w:spacing w:before="0" w:after="120"/>
        <w:jc w:val="both"/>
        <w:rPr>
          <w:rFonts w:eastAsia="Arial"/>
          <w:color w:val="585857"/>
        </w:rPr>
      </w:pPr>
      <w:r>
        <w:rPr>
          <w:rFonts w:eastAsia="Arial"/>
          <w:color w:val="585857"/>
        </w:rPr>
        <w:t>To deliver high-quality, personalised teaching for secondary-aged pupils with complex SEND, including Social, Emotional and Mental Health needs, Autism and associated learning needs. The postholder will enable pupils to develop their knowledge, communication, confidence, independence and readiness for adulthood.</w:t>
      </w:r>
    </w:p>
    <w:p>
      <w:pPr>
        <w:pStyle w:val="Normal"/>
        <w:spacing w:before="0" w:after="120"/>
        <w:jc w:val="both"/>
        <w:rPr>
          <w:rFonts w:eastAsia="Arial"/>
          <w:color w:val="585857"/>
        </w:rPr>
      </w:pPr>
      <w:r>
        <w:rPr>
          <w:rFonts w:eastAsia="Arial"/>
          <w:color w:val="585857"/>
        </w:rPr>
        <w:t>The role will focus on Maths and Science and may also include delivery across related curriculum areas, including Personal, Social Development (PSD), Skills Builder and functional skills, in line with the school timetable and pupils’ individual needs.</w:t>
      </w:r>
    </w:p>
    <w:p>
      <w:pPr>
        <w:pStyle w:val="Normal"/>
        <w:spacing w:before="0" w:after="120"/>
        <w:jc w:val="both"/>
        <w:rPr>
          <w:rFonts w:eastAsia="Arial"/>
          <w:color w:val="585857"/>
        </w:rPr>
      </w:pPr>
      <w:r>
        <w:rPr>
          <w:rFonts w:eastAsia="Arial"/>
          <w:color w:val="585857"/>
        </w:rPr>
        <w:t>Applications may be considered from recently qualified teachers, including those with primary-phase experience, where they can demonstrate the ability and commitment to teach Maths and Science within a specialist secondary SEND setting.</w:t>
      </w:r>
    </w:p>
    <w:p>
      <w:pPr>
        <w:pStyle w:val="Normal"/>
        <w:spacing w:before="0" w:after="120"/>
        <w:jc w:val="both"/>
        <w:rPr>
          <w:color w:val="585857"/>
        </w:rPr>
      </w:pPr>
      <w:r>
        <w:rPr>
          <w:color w:val="585857"/>
        </w:rPr>
      </w:r>
    </w:p>
    <w:p>
      <w:pPr>
        <w:pStyle w:val="Heading2"/>
        <w:spacing w:lineRule="auto" w:line="360"/>
        <w:jc w:val="both"/>
        <w:rPr/>
      </w:pPr>
      <w:r>
        <w:rPr/>
        <w:t>Main Responsibilities</w:t>
      </w:r>
    </w:p>
    <w:p>
      <w:pPr>
        <w:pStyle w:val="Heading2"/>
        <w:spacing w:lineRule="auto" w:line="360"/>
        <w:jc w:val="both"/>
        <w:rPr/>
      </w:pPr>
      <w:r>
        <w:rPr/>
        <w:t>Teaching, Learning and Curriculum</w:t>
      </w:r>
    </w:p>
    <w:p>
      <w:pPr>
        <w:pStyle w:val="ListBullet"/>
        <w:numPr>
          <w:ilvl w:val="0"/>
          <w:numId w:val="5"/>
        </w:numPr>
        <w:spacing w:lineRule="auto" w:line="360" w:before="0" w:after="60"/>
        <w:contextualSpacing/>
        <w:jc w:val="both"/>
        <w:rPr>
          <w:color w:val="585857"/>
          <w:sz w:val="20"/>
        </w:rPr>
      </w:pPr>
      <w:r>
        <w:rPr>
          <w:color w:val="585857"/>
          <w:sz w:val="20"/>
        </w:rPr>
        <w:t>Plan, prepare and deliver high-quality, ambitious and well-sequenced lessons that are adapted for pupils with a wide range of SEND, abilities and starting points.</w:t>
      </w:r>
    </w:p>
    <w:p>
      <w:pPr>
        <w:pStyle w:val="ListBullet"/>
        <w:numPr>
          <w:ilvl w:val="0"/>
          <w:numId w:val="5"/>
        </w:numPr>
        <w:spacing w:lineRule="auto" w:line="360" w:before="0" w:after="60"/>
        <w:contextualSpacing/>
        <w:jc w:val="both"/>
        <w:rPr>
          <w:color w:val="585857"/>
          <w:sz w:val="20"/>
        </w:rPr>
      </w:pPr>
      <w:r>
        <w:rPr>
          <w:color w:val="585857"/>
          <w:sz w:val="20"/>
        </w:rPr>
        <w:t>Teach Maths and Science, and other agreed curriculum areas, using approaches that promote engagement, communication, independence and progress.</w:t>
      </w:r>
    </w:p>
    <w:p>
      <w:pPr>
        <w:pStyle w:val="ListBullet"/>
        <w:numPr>
          <w:ilvl w:val="0"/>
          <w:numId w:val="5"/>
        </w:numPr>
        <w:spacing w:lineRule="auto" w:line="360" w:before="0" w:after="60"/>
        <w:contextualSpacing/>
        <w:jc w:val="both"/>
        <w:rPr>
          <w:color w:val="585857"/>
          <w:sz w:val="20"/>
        </w:rPr>
      </w:pPr>
      <w:r>
        <w:rPr>
          <w:color w:val="585857"/>
          <w:sz w:val="20"/>
        </w:rPr>
        <w:t>Embed functional literacy, numeracy, communication and life skills within lessons, including relevant Skills Builder outcomes.</w:t>
      </w:r>
    </w:p>
    <w:p>
      <w:pPr>
        <w:pStyle w:val="ListBullet"/>
        <w:numPr>
          <w:ilvl w:val="0"/>
          <w:numId w:val="5"/>
        </w:numPr>
        <w:spacing w:lineRule="auto" w:line="360" w:before="0" w:after="60"/>
        <w:contextualSpacing/>
        <w:jc w:val="both"/>
        <w:rPr>
          <w:color w:val="585857"/>
          <w:sz w:val="20"/>
        </w:rPr>
      </w:pPr>
      <w:r>
        <w:rPr>
          <w:color w:val="585857"/>
          <w:sz w:val="20"/>
        </w:rPr>
        <w:t>Use effective teaching strategies such as modelling, scaffolding, questioning, retrieval practice, structured routines and targeted interventions.</w:t>
      </w:r>
    </w:p>
    <w:p>
      <w:pPr>
        <w:pStyle w:val="ListBullet"/>
        <w:numPr>
          <w:ilvl w:val="0"/>
          <w:numId w:val="5"/>
        </w:numPr>
        <w:spacing w:lineRule="auto" w:line="360" w:before="0" w:after="60"/>
        <w:contextualSpacing/>
        <w:jc w:val="both"/>
        <w:rPr>
          <w:color w:val="585857"/>
          <w:sz w:val="20"/>
        </w:rPr>
      </w:pPr>
      <w:r>
        <w:rPr>
          <w:color w:val="585857"/>
          <w:sz w:val="20"/>
        </w:rPr>
        <w:t>Ensure learning is accessible through appropriate adaptations, including visual supports, assistive technology and total communication approaches.</w:t>
      </w:r>
    </w:p>
    <w:p>
      <w:pPr>
        <w:pStyle w:val="ListBullet"/>
        <w:numPr>
          <w:ilvl w:val="0"/>
          <w:numId w:val="5"/>
        </w:numPr>
        <w:spacing w:lineRule="auto" w:line="360" w:before="0" w:after="60"/>
        <w:contextualSpacing/>
        <w:jc w:val="both"/>
        <w:rPr>
          <w:color w:val="585857"/>
          <w:sz w:val="20"/>
        </w:rPr>
      </w:pPr>
      <w:r>
        <w:rPr>
          <w:color w:val="585857"/>
          <w:sz w:val="20"/>
        </w:rPr>
        <w:t>Maintain high expectations for pupil achievement, behaviour and participation, while recognising individual needs and barriers to learning.</w:t>
      </w:r>
    </w:p>
    <w:p>
      <w:pPr>
        <w:pStyle w:val="Normal"/>
        <w:spacing w:before="0" w:after="0"/>
        <w:jc w:val="both"/>
        <w:rPr>
          <w:bCs w:val="false"/>
          <w:color w:val="585857"/>
          <w:lang w:val="en-GB" w:eastAsia="en-GB"/>
        </w:rPr>
      </w:pPr>
      <w:r>
        <w:rPr>
          <w:bCs w:val="false"/>
          <w:color w:val="585857"/>
          <w:lang w:val="en-GB" w:eastAsia="en-GB"/>
        </w:rPr>
      </w:r>
    </w:p>
    <w:p>
      <w:pPr>
        <w:pStyle w:val="Normal"/>
        <w:spacing w:before="0" w:after="0"/>
        <w:jc w:val="both"/>
        <w:rPr>
          <w:bCs w:val="false"/>
          <w:color w:val="585857"/>
          <w:lang w:val="en-GB" w:eastAsia="en-GB"/>
        </w:rPr>
      </w:pPr>
      <w:r>
        <w:rPr>
          <w:bCs w:val="false"/>
          <w:color w:val="585857"/>
          <w:lang w:val="en-GB" w:eastAsia="en-GB"/>
        </w:rPr>
      </w:r>
    </w:p>
    <w:p>
      <w:pPr>
        <w:pStyle w:val="Normal"/>
        <w:spacing w:before="0" w:after="0"/>
        <w:jc w:val="both"/>
        <w:rPr>
          <w:bCs w:val="false"/>
          <w:color w:val="585857"/>
          <w:lang w:val="en-GB" w:eastAsia="en-GB"/>
        </w:rPr>
      </w:pPr>
      <w:r>
        <w:rPr>
          <w:bCs w:val="false"/>
          <w:color w:val="585857"/>
          <w:lang w:val="en-GB" w:eastAsia="en-GB"/>
        </w:rPr>
      </w:r>
    </w:p>
    <w:p>
      <w:pPr>
        <w:pStyle w:val="Heading2"/>
        <w:spacing w:lineRule="auto" w:line="360"/>
        <w:jc w:val="both"/>
        <w:rPr/>
      </w:pPr>
      <w:r>
        <w:rPr/>
        <w:t>Assessment, Monitoring and Progress</w:t>
      </w:r>
    </w:p>
    <w:p>
      <w:pPr>
        <w:pStyle w:val="ListBullet"/>
        <w:numPr>
          <w:ilvl w:val="0"/>
          <w:numId w:val="3"/>
        </w:numPr>
        <w:spacing w:lineRule="auto" w:line="360" w:before="0" w:after="60"/>
        <w:contextualSpacing/>
        <w:jc w:val="both"/>
        <w:rPr>
          <w:color w:val="585857"/>
          <w:sz w:val="20"/>
        </w:rPr>
      </w:pPr>
      <w:r>
        <w:rPr>
          <w:color w:val="585857"/>
          <w:sz w:val="20"/>
        </w:rPr>
        <w:t>Use assessment information to identify pupils’ starting points, set appropriate targets and plan next steps.</w:t>
      </w:r>
    </w:p>
    <w:p>
      <w:pPr>
        <w:pStyle w:val="ListBullet"/>
        <w:numPr>
          <w:ilvl w:val="0"/>
          <w:numId w:val="3"/>
        </w:numPr>
        <w:spacing w:lineRule="auto" w:line="360" w:before="0" w:after="60"/>
        <w:contextualSpacing/>
        <w:jc w:val="both"/>
        <w:rPr>
          <w:color w:val="585857"/>
          <w:sz w:val="20"/>
        </w:rPr>
      </w:pPr>
      <w:r>
        <w:rPr>
          <w:color w:val="585857"/>
          <w:sz w:val="20"/>
        </w:rPr>
        <w:t>Track, record and evaluate pupil progress against curriculum expectations, EHCP outcomes and personalised learning goals.</w:t>
      </w:r>
    </w:p>
    <w:p>
      <w:pPr>
        <w:pStyle w:val="ListBullet"/>
        <w:numPr>
          <w:ilvl w:val="0"/>
          <w:numId w:val="3"/>
        </w:numPr>
        <w:spacing w:lineRule="auto" w:line="360" w:before="0" w:after="60"/>
        <w:contextualSpacing/>
        <w:jc w:val="both"/>
        <w:rPr>
          <w:color w:val="585857"/>
          <w:sz w:val="20"/>
        </w:rPr>
      </w:pPr>
      <w:r>
        <w:rPr>
          <w:color w:val="585857"/>
          <w:sz w:val="20"/>
        </w:rPr>
        <w:t>Provide clear, constructive and timely feedback to pupils to support progress and confidence.</w:t>
      </w:r>
    </w:p>
    <w:p>
      <w:pPr>
        <w:pStyle w:val="ListBullet"/>
        <w:numPr>
          <w:ilvl w:val="0"/>
          <w:numId w:val="3"/>
        </w:numPr>
        <w:spacing w:lineRule="auto" w:line="360" w:before="0" w:after="60"/>
        <w:contextualSpacing/>
        <w:jc w:val="both"/>
        <w:rPr>
          <w:color w:val="585857"/>
          <w:sz w:val="20"/>
        </w:rPr>
      </w:pPr>
      <w:r>
        <w:rPr>
          <w:color w:val="585857"/>
          <w:sz w:val="20"/>
        </w:rPr>
        <w:t>Contribute to annual reviews, reports and parent/carer communications, ensuring information is accurate and evidence-informed.</w:t>
      </w:r>
    </w:p>
    <w:p>
      <w:pPr>
        <w:pStyle w:val="ListBullet"/>
        <w:numPr>
          <w:ilvl w:val="0"/>
          <w:numId w:val="3"/>
        </w:numPr>
        <w:spacing w:lineRule="auto" w:line="360" w:before="0" w:after="60"/>
        <w:contextualSpacing/>
        <w:jc w:val="both"/>
        <w:rPr>
          <w:color w:val="585857"/>
          <w:sz w:val="20"/>
        </w:rPr>
      </w:pPr>
      <w:r>
        <w:rPr>
          <w:color w:val="585857"/>
          <w:sz w:val="20"/>
        </w:rPr>
        <w:t>Use data and professional judgement to adapt planning, address gaps and secure sustained progress across reading, writing, communication, Maths and Science.</w:t>
      </w:r>
    </w:p>
    <w:p>
      <w:pPr>
        <w:pStyle w:val="Heading2"/>
        <w:spacing w:lineRule="auto" w:line="360"/>
        <w:jc w:val="both"/>
        <w:rPr/>
      </w:pPr>
      <w:r>
        <w:rPr/>
      </w:r>
    </w:p>
    <w:p>
      <w:pPr>
        <w:pStyle w:val="Heading2"/>
        <w:spacing w:lineRule="auto" w:line="360"/>
        <w:jc w:val="both"/>
        <w:rPr/>
      </w:pPr>
      <w:r>
        <w:rPr/>
        <w:t>Behaviour, Safety and Safeguarding</w:t>
      </w:r>
    </w:p>
    <w:p>
      <w:pPr>
        <w:pStyle w:val="ListBullet"/>
        <w:numPr>
          <w:ilvl w:val="0"/>
          <w:numId w:val="6"/>
        </w:numPr>
        <w:spacing w:lineRule="auto" w:line="360" w:before="0" w:after="60"/>
        <w:contextualSpacing/>
        <w:jc w:val="both"/>
        <w:rPr>
          <w:color w:val="585857"/>
          <w:sz w:val="20"/>
        </w:rPr>
      </w:pPr>
      <w:r>
        <w:rPr>
          <w:color w:val="585857"/>
          <w:sz w:val="20"/>
        </w:rPr>
        <w:t>Maintain a safe, structured, calm and inclusive learning environment.</w:t>
      </w:r>
    </w:p>
    <w:p>
      <w:pPr>
        <w:pStyle w:val="ListBullet"/>
        <w:numPr>
          <w:ilvl w:val="0"/>
          <w:numId w:val="6"/>
        </w:numPr>
        <w:spacing w:lineRule="auto" w:line="360" w:before="0" w:after="60"/>
        <w:contextualSpacing/>
        <w:jc w:val="both"/>
        <w:rPr>
          <w:color w:val="585857"/>
          <w:sz w:val="20"/>
        </w:rPr>
      </w:pPr>
      <w:r>
        <w:rPr>
          <w:color w:val="585857"/>
          <w:sz w:val="20"/>
        </w:rPr>
        <w:t>Promote positive behaviour, emotional regulation and restorative approaches in line with school policy.</w:t>
      </w:r>
    </w:p>
    <w:p>
      <w:pPr>
        <w:pStyle w:val="ListBullet"/>
        <w:numPr>
          <w:ilvl w:val="0"/>
          <w:numId w:val="6"/>
        </w:numPr>
        <w:spacing w:lineRule="auto" w:line="360" w:before="0" w:after="60"/>
        <w:contextualSpacing/>
        <w:jc w:val="both"/>
        <w:rPr>
          <w:color w:val="585857"/>
          <w:sz w:val="20"/>
        </w:rPr>
      </w:pPr>
      <w:r>
        <w:rPr>
          <w:color w:val="585857"/>
          <w:sz w:val="20"/>
        </w:rPr>
        <w:t>Apply de-escalation and agreed support strategies consistently, including individual behaviour support and risk management plans.</w:t>
      </w:r>
    </w:p>
    <w:p>
      <w:pPr>
        <w:pStyle w:val="ListBullet"/>
        <w:numPr>
          <w:ilvl w:val="0"/>
          <w:numId w:val="6"/>
        </w:numPr>
        <w:spacing w:lineRule="auto" w:line="360" w:before="0" w:after="60"/>
        <w:contextualSpacing/>
        <w:jc w:val="both"/>
        <w:rPr>
          <w:color w:val="585857"/>
          <w:sz w:val="20"/>
        </w:rPr>
      </w:pPr>
      <w:r>
        <w:rPr>
          <w:color w:val="585857"/>
          <w:sz w:val="20"/>
        </w:rPr>
        <w:t>Meet safeguarding responsibilities in line with Keeping Children Safe in Education, Trust policy and local procedures.</w:t>
      </w:r>
    </w:p>
    <w:p>
      <w:pPr>
        <w:pStyle w:val="ListBullet"/>
        <w:numPr>
          <w:ilvl w:val="0"/>
          <w:numId w:val="6"/>
        </w:numPr>
        <w:spacing w:lineRule="auto" w:line="360" w:before="0" w:after="60"/>
        <w:contextualSpacing/>
        <w:jc w:val="both"/>
        <w:rPr>
          <w:color w:val="585857"/>
          <w:sz w:val="20"/>
        </w:rPr>
      </w:pPr>
      <w:r>
        <w:rPr>
          <w:color w:val="585857"/>
          <w:sz w:val="20"/>
        </w:rPr>
        <w:t>Support pupils’ social, emotional and mental health needs through consistent, trauma-informed and relational practice.</w:t>
      </w:r>
    </w:p>
    <w:p>
      <w:pPr>
        <w:pStyle w:val="Heading2"/>
        <w:spacing w:lineRule="auto" w:line="360"/>
        <w:jc w:val="both"/>
        <w:rPr/>
      </w:pPr>
      <w:r>
        <w:rPr/>
      </w:r>
    </w:p>
    <w:p>
      <w:pPr>
        <w:pStyle w:val="Heading2"/>
        <w:spacing w:lineRule="auto" w:line="360"/>
        <w:jc w:val="both"/>
        <w:rPr/>
      </w:pPr>
      <w:r>
        <w:rPr/>
        <w:t xml:space="preserve">Whole-School Contribution and Collaboration </w:t>
      </w:r>
    </w:p>
    <w:p>
      <w:pPr>
        <w:pStyle w:val="ListBullet"/>
        <w:numPr>
          <w:ilvl w:val="0"/>
          <w:numId w:val="7"/>
        </w:numPr>
        <w:spacing w:lineRule="auto" w:line="360" w:before="0" w:after="60"/>
        <w:contextualSpacing/>
        <w:jc w:val="both"/>
        <w:rPr>
          <w:color w:val="585857"/>
          <w:sz w:val="20"/>
        </w:rPr>
      </w:pPr>
      <w:r>
        <w:rPr>
          <w:color w:val="585857"/>
          <w:sz w:val="20"/>
        </w:rPr>
        <w:t>Contribute to the development and consistent implementation of cross-curricular strategies for Maths, Science, PSD, Skills Builder and functional skills.</w:t>
      </w:r>
    </w:p>
    <w:p>
      <w:pPr>
        <w:pStyle w:val="ListBullet"/>
        <w:numPr>
          <w:ilvl w:val="0"/>
          <w:numId w:val="7"/>
        </w:numPr>
        <w:spacing w:lineRule="auto" w:line="360" w:before="0" w:after="60"/>
        <w:contextualSpacing/>
        <w:jc w:val="both"/>
        <w:rPr>
          <w:color w:val="585857"/>
          <w:sz w:val="20"/>
        </w:rPr>
      </w:pPr>
      <w:r>
        <w:rPr>
          <w:color w:val="585857"/>
          <w:sz w:val="20"/>
        </w:rPr>
        <w:t>Work collaboratively with teaching assistants, therapists, families, external agencies and multi-disciplinary teams to improve pupil outcomes.</w:t>
      </w:r>
    </w:p>
    <w:p>
      <w:pPr>
        <w:pStyle w:val="ListBullet"/>
        <w:numPr>
          <w:ilvl w:val="0"/>
          <w:numId w:val="7"/>
        </w:numPr>
        <w:spacing w:lineRule="auto" w:line="360" w:before="0" w:after="60"/>
        <w:contextualSpacing/>
        <w:jc w:val="both"/>
        <w:rPr>
          <w:color w:val="585857"/>
          <w:sz w:val="20"/>
        </w:rPr>
      </w:pPr>
      <w:r>
        <w:rPr>
          <w:color w:val="585857"/>
          <w:sz w:val="20"/>
        </w:rPr>
        <w:t>Deploy and guide teaching assistants effectively within lessons so that support promotes independence and progress.</w:t>
      </w:r>
    </w:p>
    <w:p>
      <w:pPr>
        <w:pStyle w:val="ListBullet"/>
        <w:numPr>
          <w:ilvl w:val="0"/>
          <w:numId w:val="7"/>
        </w:numPr>
        <w:spacing w:lineRule="auto" w:line="360" w:before="0" w:after="60"/>
        <w:contextualSpacing/>
        <w:jc w:val="both"/>
        <w:rPr>
          <w:color w:val="585857"/>
          <w:sz w:val="20"/>
        </w:rPr>
      </w:pPr>
      <w:r>
        <w:rPr>
          <w:color w:val="585857"/>
          <w:sz w:val="20"/>
        </w:rPr>
        <w:t>Contribute to a positive professional culture by sharing practice, supporting colleagues and participating fully in school and Trust activities.</w:t>
      </w:r>
    </w:p>
    <w:p>
      <w:pPr>
        <w:pStyle w:val="Heading2"/>
        <w:spacing w:lineRule="auto" w:line="360"/>
        <w:jc w:val="both"/>
        <w:rPr/>
      </w:pPr>
      <w:r>
        <w:rPr/>
      </w:r>
    </w:p>
    <w:p>
      <w:pPr>
        <w:pStyle w:val="Heading2"/>
        <w:spacing w:lineRule="auto" w:line="360"/>
        <w:jc w:val="both"/>
        <w:rPr/>
      </w:pPr>
      <w:r>
        <w:rPr/>
        <w:t>Quality Assurance, School Improvement</w:t>
      </w:r>
    </w:p>
    <w:p>
      <w:pPr>
        <w:pStyle w:val="ListBullet"/>
        <w:numPr>
          <w:ilvl w:val="0"/>
          <w:numId w:val="4"/>
        </w:numPr>
        <w:spacing w:lineRule="auto" w:line="360" w:before="0" w:after="60"/>
        <w:contextualSpacing/>
        <w:jc w:val="both"/>
        <w:rPr>
          <w:color w:val="585857"/>
          <w:sz w:val="20"/>
        </w:rPr>
      </w:pPr>
      <w:r>
        <w:rPr>
          <w:color w:val="585857"/>
          <w:sz w:val="20"/>
        </w:rPr>
        <w:t>Engage positively with monitoring and evaluation processes, including lesson visits, learning walks, book/work scrutiny, pupil voice and data analysis.</w:t>
      </w:r>
    </w:p>
    <w:p>
      <w:pPr>
        <w:pStyle w:val="ListBullet"/>
        <w:numPr>
          <w:ilvl w:val="0"/>
          <w:numId w:val="4"/>
        </w:numPr>
        <w:spacing w:lineRule="auto" w:line="360" w:before="0" w:after="60"/>
        <w:contextualSpacing/>
        <w:jc w:val="both"/>
        <w:rPr>
          <w:color w:val="585857"/>
          <w:sz w:val="20"/>
        </w:rPr>
      </w:pPr>
      <w:r>
        <w:rPr>
          <w:color w:val="585857"/>
          <w:sz w:val="20"/>
        </w:rPr>
        <w:t>Contribute to school self-evaluation, curriculum development and improvement planning as required.</w:t>
      </w:r>
    </w:p>
    <w:p>
      <w:pPr>
        <w:pStyle w:val="ListBullet"/>
        <w:numPr>
          <w:ilvl w:val="0"/>
          <w:numId w:val="4"/>
        </w:numPr>
        <w:spacing w:lineRule="auto" w:line="360" w:before="0" w:after="60"/>
        <w:contextualSpacing/>
        <w:jc w:val="both"/>
        <w:rPr>
          <w:color w:val="585857"/>
          <w:sz w:val="20"/>
        </w:rPr>
      </w:pPr>
      <w:r>
        <w:rPr>
          <w:color w:val="585857"/>
          <w:sz w:val="20"/>
        </w:rPr>
        <w:t>Reflect on practice, respond to feedback and engage in CPD to continually improve teaching and specialist SEND practice.</w:t>
      </w:r>
    </w:p>
    <w:p>
      <w:pPr>
        <w:pStyle w:val="ListBullet"/>
        <w:numPr>
          <w:ilvl w:val="0"/>
          <w:numId w:val="4"/>
        </w:numPr>
        <w:spacing w:lineRule="auto" w:line="360" w:before="0" w:after="60"/>
        <w:contextualSpacing/>
        <w:jc w:val="both"/>
        <w:rPr>
          <w:color w:val="585857"/>
          <w:sz w:val="20"/>
        </w:rPr>
      </w:pPr>
      <w:r>
        <w:rPr>
          <w:color w:val="585857"/>
          <w:sz w:val="20"/>
        </w:rPr>
        <w:t>Fulfil the duties and professional responsibilities of a teacher in line with the School Teachers’ Pay and Conditions Document and the Teachers’ Standards.</w:t>
      </w:r>
    </w:p>
    <w:p>
      <w:pPr>
        <w:pStyle w:val="ListBullet"/>
        <w:numPr>
          <w:ilvl w:val="0"/>
          <w:numId w:val="4"/>
        </w:numPr>
        <w:spacing w:lineRule="auto" w:line="360" w:before="0" w:after="60"/>
        <w:contextualSpacing/>
        <w:jc w:val="both"/>
        <w:rPr>
          <w:color w:val="585857"/>
          <w:sz w:val="20"/>
        </w:rPr>
      </w:pPr>
      <w:r>
        <w:rPr>
          <w:color w:val="585857"/>
          <w:sz w:val="20"/>
        </w:rPr>
        <w:t>Participate in appraisal/performance management and undertake any other reasonable duties commensurate with the role.</w:t>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Heading2"/>
        <w:rPr>
          <w:rFonts w:ascii="Arial" w:hAnsi="Arial" w:cs="Arial"/>
        </w:rPr>
      </w:pPr>
      <w:r>
        <w:rPr>
          <w:rFonts w:cs="Arial" w:ascii="Arial" w:hAnsi="Arial"/>
        </w:rPr>
        <w:t xml:space="preserve">Person Specification </w:t>
      </w:r>
    </w:p>
    <w:p>
      <w:pPr>
        <w:pStyle w:val="Normal"/>
        <w:numPr>
          <w:ilvl w:val="0"/>
          <w:numId w:val="0"/>
        </w:numPr>
        <w:spacing w:lineRule="auto" w:line="240"/>
        <w:ind w:left="0" w:hanging="0"/>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tbl>
      <w:tblPr>
        <w:tblW w:w="9716" w:type="dxa"/>
        <w:jc w:val="left"/>
        <w:tblInd w:w="0" w:type="dxa"/>
        <w:tblCellMar>
          <w:top w:w="0" w:type="dxa"/>
          <w:left w:w="108" w:type="dxa"/>
          <w:bottom w:w="0" w:type="dxa"/>
          <w:right w:w="108" w:type="dxa"/>
        </w:tblCellMar>
      </w:tblPr>
      <w:tblGrid>
        <w:gridCol w:w="1695"/>
        <w:gridCol w:w="3829"/>
        <w:gridCol w:w="2835"/>
        <w:gridCol w:w="425"/>
        <w:gridCol w:w="426"/>
        <w:gridCol w:w="506"/>
      </w:tblGrid>
      <w:tr>
        <w:trPr>
          <w:trHeight w:val="1459" w:hRule="atLeast"/>
          <w:cantSplit w:val="true"/>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360" w:before="0" w:after="240"/>
              <w:rPr>
                <w:rFonts w:eastAsia="Arial" w:cs="Arial"/>
                <w:b/>
                <w:b/>
                <w:color w:val="4F5252"/>
                <w:lang w:val="en-GB" w:eastAsia="en-GB"/>
              </w:rPr>
            </w:pPr>
            <w:r>
              <w:rPr>
                <w:rFonts w:eastAsia="Arial" w:cs="Arial"/>
                <w:b/>
                <w:color w:val="4F5252"/>
                <w:lang w:val="en-GB" w:eastAsia="en-GB"/>
              </w:rPr>
            </w:r>
          </w:p>
        </w:tc>
        <w:tc>
          <w:tcPr>
            <w:tcW w:w="3829"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Essential</w:t>
            </w:r>
          </w:p>
        </w:tc>
        <w:tc>
          <w:tcPr>
            <w:tcW w:w="283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Desirable</w:t>
            </w:r>
          </w:p>
        </w:tc>
        <w:tc>
          <w:tcPr>
            <w:tcW w:w="425" w:type="dxa"/>
            <w:tcBorders>
              <w:top w:val="single" w:sz="4" w:space="0" w:color="000000"/>
              <w:left w:val="single" w:sz="4" w:space="0" w:color="000000"/>
              <w:bottom w:val="single" w:sz="4" w:space="0" w:color="000000"/>
            </w:tcBorders>
            <w:shd w:fill="auto" w:val="clear"/>
            <w:textDirection w:val="btLr"/>
          </w:tcPr>
          <w:p>
            <w:pPr>
              <w:pStyle w:val="Normal"/>
              <w:spacing w:lineRule="auto" w:line="360" w:before="0" w:after="240"/>
              <w:ind w:left="113" w:right="113" w:hanging="0"/>
              <w:rPr>
                <w:rFonts w:eastAsia="Arial" w:cs="Arial"/>
                <w:b/>
                <w:b/>
                <w:color w:val="4F5252"/>
                <w:lang w:val="en-GB" w:eastAsia="en-GB"/>
              </w:rPr>
            </w:pPr>
            <w:r>
              <w:rPr>
                <w:rFonts w:eastAsia="Arial" w:cs="Arial"/>
                <w:b/>
                <w:color w:val="4F5252"/>
                <w:lang w:val="en-GB" w:eastAsia="en-GB"/>
              </w:rPr>
              <w:t xml:space="preserve">Application </w:t>
            </w:r>
          </w:p>
        </w:tc>
        <w:tc>
          <w:tcPr>
            <w:tcW w:w="426" w:type="dxa"/>
            <w:tcBorders>
              <w:top w:val="single" w:sz="4" w:space="0" w:color="000000"/>
              <w:left w:val="single" w:sz="4" w:space="0" w:color="000000"/>
              <w:bottom w:val="single" w:sz="4" w:space="0" w:color="000000"/>
            </w:tcBorders>
            <w:shd w:fill="auto" w:val="clear"/>
            <w:textDirection w:val="btLr"/>
          </w:tcPr>
          <w:p>
            <w:pPr>
              <w:pStyle w:val="Normal"/>
              <w:spacing w:lineRule="auto" w:line="360" w:before="0" w:after="240"/>
              <w:ind w:left="113" w:right="113" w:hanging="0"/>
              <w:rPr>
                <w:rFonts w:eastAsia="Arial" w:cs="Arial"/>
                <w:b/>
                <w:b/>
                <w:color w:val="4F5252"/>
                <w:lang w:val="en-GB" w:eastAsia="en-GB"/>
              </w:rPr>
            </w:pPr>
            <w:r>
              <w:rPr>
                <w:rFonts w:eastAsia="Arial" w:cs="Arial"/>
                <w:b/>
                <w:color w:val="4F5252"/>
                <w:lang w:val="en-GB" w:eastAsia="en-GB"/>
              </w:rPr>
              <w:t>Observation</w:t>
            </w:r>
          </w:p>
        </w:tc>
        <w:tc>
          <w:tcPr>
            <w:tcW w:w="506"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360" w:before="0" w:after="240"/>
              <w:ind w:left="113" w:right="113" w:hanging="0"/>
              <w:rPr>
                <w:rFonts w:eastAsia="Arial" w:cs="Arial"/>
                <w:b/>
                <w:b/>
                <w:color w:val="4F5252"/>
                <w:lang w:val="en-GB" w:eastAsia="en-GB"/>
              </w:rPr>
            </w:pPr>
            <w:r>
              <w:rPr>
                <w:rFonts w:eastAsia="Arial" w:cs="Arial"/>
                <w:b/>
                <w:color w:val="4F5252"/>
                <w:lang w:val="en-GB" w:eastAsia="en-GB"/>
              </w:rPr>
              <w:t>Interview</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Qualifications</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An undergraduate degree in a relevant subject area</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Qualified teacher status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Additional CPD undertaken specifically on supporting pupils with SEN</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Maths or Science Qualification </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SEN specialism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Knowledge and understanding of a trauma-informed way of working in schools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 knowledge and understanding of working with SEND students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Attachment awareness and the ability to put knowledge into practice</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napToGrid w:val="false"/>
              <w:spacing w:lineRule="auto" w:line="360" w:before="0" w:after="240"/>
              <w:rPr>
                <w:rFonts w:eastAsia="Arial" w:cs="Arial"/>
                <w:b/>
                <w:b/>
                <w:color w:val="4F5252"/>
                <w:lang w:val="en-GB" w:eastAsia="en-GB"/>
              </w:rPr>
            </w:pPr>
            <w:r>
              <w:rPr>
                <w:rFonts w:eastAsia="Arial" w:cs="Arial"/>
                <w:b/>
                <w:color w:val="4F5252"/>
                <w:lang w:val="en-GB" w:eastAsia="en-GB"/>
              </w:rPr>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Experience</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or expertise in SEN starting at Entry Level qualifications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maintaining a high-quality, safe and stimulating learning environment</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Ability to teach using a wide variety of strategies to maximise achievement for all children, including those with special educational needs and high achievers and to meet differing learning styles.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in creating and maintaining effective partnerships with parents to support pupils’ learning</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working up to GCSE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using de-escalation strategies outlined by Team Teach</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Specific examples of maintaining high expectations to allow all pupils to fulfil their full potential</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Professional Understanding, Knowledge and Skills</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Have the ability to assess and record the progress of pupils’ learning to inform next steps and monitor progress.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To be able to analyse data to set targets and next steps to achieve SMART targets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An in-depth knowledge and understanding of safeguarding and how to promote the wellbeing of pupils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Awareness of the Education Acts and the SEND Code of Practice</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working with other agencies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Experience of working collaboratively with other schools, universities and organisations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Sound knowledge of assessment in secondary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Knowledge of how the curriculum can be adapted to meet the needs of pupils with a range of SEN relevant to the age range of the school, including assessment recording and reporting</w:t>
            </w:r>
          </w:p>
          <w:p>
            <w:pPr>
              <w:pStyle w:val="Normal"/>
              <w:spacing w:lineRule="auto" w:line="360" w:before="0" w:after="240"/>
              <w:ind w:left="360" w:right="0" w:hanging="0"/>
              <w:rPr>
                <w:rFonts w:eastAsia="Arial" w:cs="Arial"/>
                <w:bCs w:val="false"/>
                <w:color w:val="4F5252"/>
                <w:lang w:val="en-GB" w:eastAsia="en-GB"/>
              </w:rPr>
            </w:pPr>
            <w:r>
              <w:rPr>
                <w:rFonts w:eastAsia="Arial" w:cs="Arial"/>
                <w:bCs w:val="false"/>
                <w:color w:val="4F5252"/>
                <w:lang w:val="en-GB" w:eastAsia="en-GB"/>
              </w:rPr>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napToGrid w:val="false"/>
              <w:spacing w:lineRule="auto" w:line="360" w:before="0" w:after="240"/>
              <w:rPr>
                <w:rFonts w:eastAsia="Arial" w:cs="Arial"/>
                <w:b/>
                <w:b/>
                <w:color w:val="4F5252"/>
                <w:lang w:val="en-GB" w:eastAsia="en-GB"/>
              </w:rPr>
            </w:pPr>
            <w:r>
              <w:rPr>
                <w:rFonts w:eastAsia="Arial" w:cs="Arial"/>
                <w:b/>
                <w:color w:val="4F5252"/>
                <w:lang w:val="en-GB" w:eastAsia="en-GB"/>
              </w:rPr>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Teaching and Learning</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 passion for working with young children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Practical understanding of effective teaching and evaluation strategies for pupils with SEN</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adapt learning objectives to meet the needs of all levels of ability in the class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Proactive in solving problems, being solution-focused during lessons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Creative in approach to planning and delivering lessons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Able to manage pupil behaviour effectively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use ICT to advance pupils’ learning, and use common ICT tools for their own and pupils’ benefit.</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Successful and sustained teaching experience across relevant key stages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Recent experience of teaching in KS3 and KS4 </w:t>
            </w:r>
          </w:p>
          <w:p>
            <w:pPr>
              <w:pStyle w:val="Normal"/>
              <w:spacing w:lineRule="auto" w:line="360" w:before="0" w:after="240"/>
              <w:rPr>
                <w:rFonts w:eastAsia="Arial" w:cs="Arial"/>
                <w:bCs w:val="false"/>
                <w:color w:val="4F5252"/>
                <w:lang w:val="en-GB" w:eastAsia="en-GB"/>
              </w:rPr>
            </w:pPr>
            <w:r>
              <w:rPr>
                <w:rFonts w:eastAsia="Arial" w:cs="Arial"/>
                <w:bCs w:val="false"/>
                <w:color w:val="4F5252"/>
                <w:lang w:val="en-GB" w:eastAsia="en-GB"/>
              </w:rPr>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Leadership and Management</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Able to manage a class effectively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Have experience in deploying TAs to accelerate pupils' progress in all areas</w:t>
            </w:r>
          </w:p>
          <w:p>
            <w:pPr>
              <w:pStyle w:val="Normal"/>
              <w:numPr>
                <w:ilvl w:val="0"/>
                <w:numId w:val="2"/>
              </w:numPr>
              <w:spacing w:lineRule="auto" w:line="360" w:before="0" w:after="240"/>
              <w:contextualSpacing/>
              <w:rPr/>
            </w:pPr>
            <w:r>
              <w:rPr>
                <w:rFonts w:eastAsia="Arial" w:cs="Arial"/>
                <w:bCs w:val="false"/>
                <w:color w:val="4F5252"/>
                <w:lang w:val="en-GB" w:eastAsia="en-GB"/>
              </w:rPr>
              <w:t>Able to motivate pupils and staff, setting high</w:t>
            </w:r>
            <w:r>
              <w:rPr>
                <w:rFonts w:eastAsia="Arial" w:cs="Arial"/>
                <w:bCs w:val="false"/>
                <w:color w:val="4F5252"/>
              </w:rPr>
              <w:t xml:space="preserve"> </w:t>
            </w:r>
            <w:r>
              <w:rPr>
                <w:rFonts w:eastAsia="Arial" w:cs="Arial"/>
                <w:bCs w:val="false"/>
                <w:color w:val="4F5252"/>
                <w:lang w:val="en-GB" w:eastAsia="en-GB"/>
              </w:rPr>
              <w:t>standards and providing a focus for improvement</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Hold aspirations for future career development</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Personal Qualities</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Hold high levels of emotional intelligence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establish and develop good relationships with all those involved in the school</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work effectively as a team member</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Ability to communicate effectively in writing and orally</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Flexible and approachable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Resilient under pressure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deal sensitively with people and resolve conflicts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High levels of energy and enthusiasm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 good sense of humour and ability to find solutions in challenging circumstances</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Bring personal interests and enthusiasms to the school community</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Ambitious </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bl>
    <w:p>
      <w:pPr>
        <w:pStyle w:val="Normal"/>
        <w:numPr>
          <w:ilvl w:val="0"/>
          <w:numId w:val="0"/>
        </w:numPr>
        <w:ind w:left="0" w:hanging="0"/>
        <w:jc w:val="both"/>
        <w:rPr>
          <w:u w:val="single"/>
          <w:lang w:val="en-GB" w:eastAsia="en-GB"/>
        </w:rPr>
      </w:pPr>
      <w:r>
        <w:rPr>
          <w:u w:val="single"/>
          <w:lang w:val="en-GB" w:eastAsia="en-GB"/>
        </w:rPr>
      </w:r>
    </w:p>
    <w:p>
      <w:pPr>
        <w:pStyle w:val="SignatureName"/>
        <w:spacing w:lineRule="auto" w:line="360"/>
        <w:jc w:val="both"/>
        <w:rPr>
          <w:rFonts w:eastAsia="Arial"/>
        </w:rPr>
      </w:pPr>
      <w:r>
        <w:rPr>
          <w:rFonts w:eastAsia="Arial"/>
        </w:rPr>
        <w:t>Additional Information</w:t>
      </w:r>
    </w:p>
    <w:p>
      <w:pPr>
        <w:pStyle w:val="Normal"/>
        <w:spacing w:before="0" w:after="120"/>
        <w:jc w:val="both"/>
        <w:rPr>
          <w:rFonts w:eastAsia="Arial"/>
        </w:rPr>
      </w:pPr>
      <w:r>
        <w:rPr>
          <w:rFonts w:eastAsia="Arial"/>
        </w:rPr>
        <w:t>This job description is not exhaustive and may be amended following consultation to reflect the evolving needs of the school and Trust. The postholder will be expected to work within Trust policies and procedures and uphold the Trust’s values at all times.</w:t>
      </w:r>
    </w:p>
    <w:p>
      <w:pPr>
        <w:pStyle w:val="Normal"/>
        <w:spacing w:before="0" w:after="120"/>
        <w:jc w:val="both"/>
        <w:rPr>
          <w:rFonts w:eastAsia="Arial"/>
        </w:rPr>
      </w:pPr>
      <w:r>
        <w:rPr>
          <w:rFonts w:eastAsia="Arial"/>
        </w:rPr>
      </w:r>
    </w:p>
    <w:p>
      <w:pPr>
        <w:pStyle w:val="Normal"/>
        <w:spacing w:before="0" w:after="120"/>
        <w:jc w:val="both"/>
        <w:rPr>
          <w:rFonts w:eastAsia="Arial"/>
        </w:rPr>
      </w:pPr>
      <w:r>
        <w:rPr>
          <w:rFonts w:eastAsia="Arial"/>
        </w:rPr>
      </w:r>
    </w:p>
    <w:p>
      <w:pPr>
        <w:pStyle w:val="ReferenceIntroLineCenturyGothic"/>
        <w:jc w:val="both"/>
        <w:rPr>
          <w:rFonts w:eastAsia="Arial"/>
        </w:rPr>
      </w:pPr>
      <w:r>
        <w:rPr>
          <w:rFonts w:eastAsia="Arial"/>
        </w:rPr>
        <w:t>Safeguarding and Safer Recruitment</w:t>
      </w:r>
    </w:p>
    <w:p>
      <w:pPr>
        <w:pStyle w:val="Normal"/>
        <w:spacing w:before="0" w:after="120"/>
        <w:jc w:val="both"/>
        <w:rPr>
          <w:rFonts w:eastAsia="Arial"/>
        </w:rPr>
      </w:pPr>
      <w:r>
        <w:rPr>
          <w:rFonts w:eastAsia="Arial"/>
        </w:rPr>
        <w:t>The Sovereign Trust is committed to safeguarding and promoting the welfare of children and young people and expects all staff and volunteers to share this commitment.</w:t>
      </w:r>
    </w:p>
    <w:p>
      <w:pPr>
        <w:pStyle w:val="Normal"/>
        <w:spacing w:before="0" w:after="120"/>
        <w:jc w:val="both"/>
        <w:rPr>
          <w:rFonts w:eastAsia="Arial"/>
        </w:rPr>
      </w:pPr>
      <w:r>
        <w:rPr>
          <w:rFonts w:eastAsia="Arial"/>
        </w:rPr>
        <w:t>Shortlisted candidates will be subject to an online search. The successful candidate will be required to complete pre-employment checks, including satisfactory references, medical clearance, verification of qualifications, right to work in the UK, and an enhanced Disclosure and Barring Service (DBS) check with barred list information. A childcare disqualification declaration may also be required where applicable.</w:t>
      </w:r>
    </w:p>
    <w:p>
      <w:pPr>
        <w:pStyle w:val="Normal"/>
        <w:numPr>
          <w:ilvl w:val="0"/>
          <w:numId w:val="0"/>
        </w:numPr>
        <w:spacing w:lineRule="auto" w:line="240"/>
        <w:ind w:left="0" w:hanging="0"/>
        <w:jc w:val="center"/>
        <w:rPr>
          <w:u w:val="single"/>
          <w:lang w:val="en-GB" w:eastAsia="en-GB"/>
        </w:rPr>
      </w:pPr>
      <w:r>
        <w:rPr>
          <w:u w:val="single"/>
          <w:lang w:val="en-GB" w:eastAsia="en-GB"/>
        </w:rPr>
      </w:r>
    </w:p>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ind w:left="0" w:hanging="0"/>
        <w:rPr>
          <w:u w:val="single"/>
          <w:lang w:val="en-GB" w:eastAsia="en-GB"/>
        </w:rPr>
      </w:pPr>
      <w:r>
        <w:rPr>
          <w:u w:val="single"/>
          <w:lang w:val="en-GB" w:eastAsia="en-GB"/>
        </w:rPr>
      </w:r>
    </w:p>
    <w:p>
      <w:pPr>
        <w:pStyle w:val="Heading2"/>
        <w:rPr>
          <w:u w:val="single"/>
          <w:lang w:val="en-GB" w:eastAsia="en-GB"/>
        </w:rPr>
      </w:pPr>
      <w:r>
        <w:rPr>
          <w:u w:val="single"/>
          <w:lang w:val="en-GB" w:eastAsia="en-GB"/>
        </w:rPr>
      </w:r>
    </w:p>
    <w:p>
      <w:pPr>
        <w:pStyle w:val="Normal"/>
        <w:tabs>
          <w:tab w:val="clear" w:pos="720"/>
          <w:tab w:val="left" w:pos="5415" w:leader="none"/>
        </w:tabs>
        <w:spacing w:before="0" w:after="240"/>
        <w:rPr>
          <w:vanish/>
        </w:rPr>
      </w:pPr>
      <w:r>
        <w:rPr/>
        <w:tab/>
      </w:r>
      <w:bookmarkStart w:id="0" w:name="_PictureBullets"/>
      <w:bookmarkEnd w:id="0"/>
    </w:p>
    <w:sectPr>
      <w:headerReference w:type="default" r:id="rId2"/>
      <w:headerReference w:type="first" r:id="rId3"/>
      <w:footerReference w:type="default" r:id="rId4"/>
      <w:footerReference w:type="first" r:id="rId5"/>
      <w:type w:val="nextPage"/>
      <w:pgSz w:w="11906" w:h="16838"/>
      <w:pgMar w:left="1163" w:right="1021" w:header="720" w:top="1497" w:footer="217" w:bottom="1094"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imes">
    <w:altName w:val="Times New Roman"/>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7</w:t>
    </w:r>
    <w:r>
      <w:rPr/>
      <w:fldChar w:fldCharType="end"/>
    </w:r>
  </w:p>
  <w:p>
    <w:pPr>
      <w:pStyle w:val="BasicParagraph"/>
      <w:spacing w:lineRule="auto" w:line="360"/>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color w:val="4F5252"/>
        <w:spacing w:val="-1"/>
        <w:sz w:val="15"/>
        <w:szCs w:val="15"/>
      </w:rPr>
    </w:pPr>
    <w:r>
      <w:rPr/>
      <w:fldChar w:fldCharType="begin"/>
    </w:r>
    <w:r>
      <w:rPr/>
      <w:instrText> PAGE </w:instrText>
    </w:r>
    <w:r>
      <w:rPr/>
      <w:fldChar w:fldCharType="separate"/>
    </w:r>
    <w:r>
      <w:rPr/>
      <w:t>1</w:t>
    </w:r>
    <w:r>
      <w:rPr/>
      <w:fldChar w:fldCharType="end"/>
    </w:r>
  </w:p>
  <w:p>
    <w:pPr>
      <w:pStyle w:val="BasicParagraph"/>
      <w:spacing w:before="0" w:after="113"/>
      <w:jc w:val="right"/>
      <w:rPr>
        <w:rFonts w:ascii="Arial" w:hAnsi="Arial" w:cs="Arial"/>
        <w:color w:val="4F5252"/>
        <w:spacing w:val="-1"/>
        <w:sz w:val="15"/>
        <w:szCs w:val="15"/>
      </w:rPr>
    </w:pPr>
    <w:r>
      <w:rPr>
        <w:rFonts w:cs="Arial" w:ascii="Arial" w:hAnsi="Arial"/>
        <w:color w:val="4F5252"/>
        <w:spacing w:val="-1"/>
        <w:sz w:val="15"/>
        <w:szCs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360" w:before="0" w:after="240"/>
      <w:jc w:val="left"/>
      <w:rPr/>
    </w:pPr>
    <w:r>
      <w:rPr/>
      <w:drawing>
        <wp:anchor behindDoc="1" distT="0" distB="0" distL="0" distR="0" simplePos="0" locked="0" layoutInCell="1" allowOverlap="1" relativeHeight="2">
          <wp:simplePos x="0" y="0"/>
          <wp:positionH relativeFrom="column">
            <wp:posOffset>4279265</wp:posOffset>
          </wp:positionH>
          <wp:positionV relativeFrom="paragraph">
            <wp:posOffset>15875</wp:posOffset>
          </wp:positionV>
          <wp:extent cx="2082800" cy="106553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12" r="-6" b="-12"/>
                  <a:stretch>
                    <a:fillRect/>
                  </a:stretch>
                </pic:blipFill>
                <pic:spPr bwMode="auto">
                  <a:xfrm>
                    <a:off x="0" y="0"/>
                    <a:ext cx="2082800" cy="10655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b w:val="false"/>
        <w:rFonts w:cs="Symbol"/>
        <w:color w:val="1E9CD8"/>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ind w:left="360" w:hanging="360"/>
      </w:pPr>
      <w:rPr>
        <w:rFonts w:ascii="Symbol" w:hAnsi="Symbol" w:cs="Symbol" w:hint="default"/>
        <w:rFonts w:cs="Symbol"/>
        <w:color w:val="00B0F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bullet"/>
      <w:lvlText w:val=""/>
      <w:lvlJc w:val="left"/>
      <w:pPr>
        <w:ind w:left="360" w:hanging="360"/>
      </w:pPr>
      <w:rPr>
        <w:rFonts w:ascii="Symbol" w:hAnsi="Symbol" w:cs="Symbol" w:hint="default"/>
        <w:rFonts w:cs="Symbol"/>
        <w:color w:val="00B0F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7">
    <w:lvl w:ilvl="0">
      <w:start w:val="1"/>
      <w:numFmt w:val="bullet"/>
      <w:lvlText w:val=""/>
      <w:lvlJc w:val="left"/>
      <w:pPr>
        <w:ind w:left="360" w:hanging="360"/>
      </w:pPr>
      <w:rPr>
        <w:rFonts w:ascii="Symbol" w:hAnsi="Symbol" w:cs="Symbol" w:hint="default"/>
        <w:rFonts w:cs="Symbol"/>
        <w:color w:val="00B0F0"/>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360" w:before="0" w:after="240"/>
      <w:jc w:val="left"/>
    </w:pPr>
    <w:rPr>
      <w:rFonts w:ascii="Arial" w:hAnsi="Arial" w:eastAsia="Times New Roman" w:cs="Arial"/>
      <w:bCs/>
      <w:color w:val="4F5252"/>
      <w:kern w:val="0"/>
      <w:sz w:val="20"/>
      <w:szCs w:val="20"/>
      <w:lang w:val="en-US" w:eastAsia="en-US" w:bidi="ar-SA"/>
    </w:rPr>
  </w:style>
  <w:style w:type="paragraph" w:styleId="Heading1">
    <w:name w:val="Heading 1"/>
    <w:basedOn w:val="Normal"/>
    <w:next w:val="Normal"/>
    <w:qFormat/>
    <w:pPr>
      <w:numPr>
        <w:ilvl w:val="0"/>
        <w:numId w:val="1"/>
      </w:numPr>
      <w:spacing w:lineRule="auto" w:line="240" w:before="240" w:after="240"/>
      <w:outlineLvl w:val="0"/>
    </w:pPr>
    <w:rPr>
      <w:rFonts w:ascii="Century Gothic" w:hAnsi="Century Gothic" w:cs="Times New Roman"/>
      <w:b/>
      <w:color w:val="13A64C"/>
      <w:sz w:val="28"/>
      <w:szCs w:val="28"/>
      <w:lang w:val="en-GB" w:eastAsia="en-GB"/>
    </w:rPr>
  </w:style>
  <w:style w:type="paragraph" w:styleId="Heading2">
    <w:name w:val="Heading 2"/>
    <w:basedOn w:val="Normal"/>
    <w:next w:val="Normal"/>
    <w:qFormat/>
    <w:pPr>
      <w:numPr>
        <w:ilvl w:val="1"/>
        <w:numId w:val="1"/>
      </w:numPr>
      <w:spacing w:lineRule="auto" w:line="240"/>
      <w:outlineLvl w:val="1"/>
    </w:pPr>
    <w:rPr>
      <w:rFonts w:ascii="Century Gothic" w:hAnsi="Century Gothic" w:cs="Times New Roman"/>
      <w:b/>
      <w:color w:val="0C9DD9"/>
      <w:sz w:val="22"/>
      <w:lang w:val="en-GB" w:eastAsia="en-GB"/>
    </w:rPr>
  </w:style>
  <w:style w:type="paragraph" w:styleId="Heading3">
    <w:name w:val="Heading 3"/>
    <w:basedOn w:val="ReferenceIntroLineCenturyGothic"/>
    <w:next w:val="Normal"/>
    <w:qFormat/>
    <w:pPr>
      <w:numPr>
        <w:ilvl w:val="2"/>
        <w:numId w:val="1"/>
      </w:numPr>
      <w:outlineLvl w:val="2"/>
    </w:pPr>
    <w:rPr>
      <w:color w:val="D11317"/>
    </w:rPr>
  </w:style>
  <w:style w:type="character" w:styleId="WW8Num1z0">
    <w:name w:val="WW8Num1z0"/>
    <w:qFormat/>
    <w:rPr>
      <w:rFonts w:ascii="Symbol" w:hAnsi="Symbol" w:cs="Symbol"/>
      <w:b w:val="false"/>
      <w:color w:val="1E9CD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1E9CD8"/>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color w:val="1E9CD8"/>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color w:val="00B0F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B0F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B0F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imes New Roman" w:hAnsi="Times New Roman" w:eastAsia="Times New Roman" w:cs="Times New Roman"/>
      <w:bCs/>
      <w:color w:val="4F5252"/>
      <w:sz w:val="18"/>
      <w:szCs w:val="18"/>
      <w:lang w:val="en-US" w:eastAsia="en-US"/>
    </w:rPr>
  </w:style>
  <w:style w:type="character" w:styleId="InternetLink">
    <w:name w:val="Internet Link"/>
    <w:rPr>
      <w:color w:val="0C9DD9"/>
      <w:u w:val="single"/>
    </w:rPr>
  </w:style>
  <w:style w:type="character" w:styleId="UnresolvedMention1">
    <w:name w:val="Unresolved Mention1"/>
    <w:qFormat/>
    <w:rPr>
      <w:color w:val="605E5C"/>
      <w:shd w:fill="E1DFDD" w:val="clear"/>
    </w:rPr>
  </w:style>
  <w:style w:type="character" w:styleId="Pagenumber">
    <w:name w:val="page number"/>
    <w:basedOn w:val="DefaultParagraphFont"/>
    <w:qFormat/>
    <w:rPr/>
  </w:style>
  <w:style w:type="character" w:styleId="Heading2Char">
    <w:name w:val="Heading 2 Char"/>
    <w:qFormat/>
    <w:rPr>
      <w:rFonts w:eastAsia="Times New Roman"/>
      <w:b/>
      <w:bCs/>
      <w:color w:val="0C9DD9"/>
      <w:sz w:val="22"/>
    </w:rPr>
  </w:style>
  <w:style w:type="character" w:styleId="Heading1Char">
    <w:name w:val="Heading 1 Char"/>
    <w:qFormat/>
    <w:rPr>
      <w:rFonts w:eastAsia="Times New Roman"/>
      <w:b/>
      <w:bCs/>
      <w:color w:val="13A64C"/>
      <w:sz w:val="28"/>
      <w:szCs w:val="28"/>
    </w:rPr>
  </w:style>
  <w:style w:type="character" w:styleId="Heading3Char">
    <w:name w:val="Heading 3 Char"/>
    <w:qFormat/>
    <w:rPr>
      <w:rFonts w:ascii="Century Gothic" w:hAnsi="Century Gothic" w:eastAsia="Times New Roman" w:cs="Times New Roman"/>
      <w:b/>
      <w:bCs/>
      <w:color w:val="D11317"/>
      <w:sz w:val="20"/>
      <w:szCs w:val="20"/>
      <w:lang w:eastAsia="en-GB"/>
    </w:rPr>
  </w:style>
  <w:style w:type="character" w:styleId="FootnoteTextChar">
    <w:name w:val="Footnote Text Char"/>
    <w:qFormat/>
    <w:rPr>
      <w:rFonts w:ascii="Arial" w:hAnsi="Arial" w:eastAsia="Times New Roman" w:cs="Arial"/>
      <w:bCs/>
      <w:color w:val="4C4C4D"/>
      <w:spacing w:val="-2"/>
      <w:sz w:val="20"/>
      <w:szCs w:val="20"/>
      <w:lang w:val="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Spellingerror">
    <w:name w:val="spellingerror"/>
    <w:basedOn w:val="DefaultParagraphFont"/>
    <w:qFormat/>
    <w:rPr/>
  </w:style>
  <w:style w:type="character" w:styleId="Normaltextrun">
    <w:name w:val="normaltextrun"/>
    <w:basedOn w:val="DefaultParagraphFont"/>
    <w:qFormat/>
    <w:rPr/>
  </w:style>
  <w:style w:type="character" w:styleId="HeaderChar">
    <w:name w:val="Header Char"/>
    <w:basedOn w:val="DefaultParagraphFont"/>
    <w:qFormat/>
    <w:rPr>
      <w:rFonts w:ascii="Arial" w:hAnsi="Arial" w:eastAsia="Times New Roman" w:cs="Arial"/>
      <w:bCs/>
      <w:color w:val="4F5252"/>
      <w:lang w:val="en-US" w:eastAsia="en-US"/>
    </w:rPr>
  </w:style>
  <w:style w:type="character" w:styleId="FooterChar">
    <w:name w:val="Footer Char"/>
    <w:basedOn w:val="DefaultParagraphFont"/>
    <w:qFormat/>
    <w:rPr>
      <w:rFonts w:ascii="Arial" w:hAnsi="Arial" w:eastAsia="Times New Roman" w:cs="Arial"/>
      <w:bCs/>
      <w:color w:val="4F5252"/>
      <w:lang w:val="en-US" w:eastAsia="en-US"/>
    </w:rPr>
  </w:style>
  <w:style w:type="character" w:styleId="UnresolvedMention2">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ReferenceIntroLineCenturyGothic">
    <w:name w:val="Reference/Intro Line Century Gothic"/>
    <w:basedOn w:val="Normal"/>
    <w:next w:val="Normal"/>
    <w:qFormat/>
    <w:pPr/>
    <w:rPr>
      <w:rFonts w:ascii="Century Gothic" w:hAnsi="Century Gothic" w:cs="Times New Roman"/>
      <w:b/>
      <w:color w:val="0C9DD9"/>
      <w:sz w:val="22"/>
      <w:lang w:val="en-GB" w:eastAsia="en-GB"/>
    </w:rPr>
  </w:style>
  <w:style w:type="paragraph" w:styleId="BalloonText">
    <w:name w:val="Balloon Text"/>
    <w:basedOn w:val="Normal"/>
    <w:qFormat/>
    <w:pPr>
      <w:spacing w:lineRule="auto" w:line="240" w:before="0" w:after="0"/>
    </w:pPr>
    <w:rPr>
      <w:rFonts w:ascii="Times New Roman" w:hAnsi="Times New Roman" w:cs="Times New Roman"/>
      <w:sz w:val="18"/>
      <w:szCs w:val="18"/>
    </w:rPr>
  </w:style>
  <w:style w:type="paragraph" w:styleId="SignatureDetails">
    <w:name w:val="Signature Details"/>
    <w:basedOn w:val="ReferenceIntroLineCenturyGothic"/>
    <w:next w:val="Normal"/>
    <w:qFormat/>
    <w:pPr>
      <w:spacing w:lineRule="auto" w:line="240" w:before="0" w:after="240"/>
      <w:contextualSpacing/>
    </w:pPr>
    <w:rPr>
      <w:b w:val="false"/>
    </w:rPr>
  </w:style>
  <w:style w:type="paragraph" w:styleId="SignatureName">
    <w:name w:val="Signature Name"/>
    <w:basedOn w:val="ReferenceIntroLineCenturyGothic"/>
    <w:next w:val="SignatureDetails"/>
    <w:qFormat/>
    <w:pPr>
      <w:spacing w:lineRule="auto" w:line="240" w:before="0" w:after="0"/>
      <w:contextualSpacing/>
    </w:pPr>
    <w:rPr/>
  </w:style>
  <w:style w:type="paragraph" w:styleId="BasicParagraph">
    <w:name w:val="[Basic Paragraph]"/>
    <w:basedOn w:val="Normal"/>
    <w:qFormat/>
    <w:pPr>
      <w:spacing w:lineRule="auto" w:line="288" w:before="0" w:after="0"/>
      <w:textAlignment w:val="center"/>
    </w:pPr>
    <w:rPr>
      <w:rFonts w:ascii="Times;Times New Roman" w:hAnsi="Times;Times New Roman" w:eastAsia="Century Gothic" w:cs="Times;Times New Roman"/>
      <w:bCs w:val="false"/>
      <w:color w:val="000000"/>
      <w:sz w:val="24"/>
      <w:szCs w:val="24"/>
      <w:lang w:val="en-GB"/>
    </w:rPr>
  </w:style>
  <w:style w:type="paragraph" w:styleId="ListParagraph">
    <w:name w:val="List Paragraph"/>
    <w:basedOn w:val="Normal"/>
    <w:qFormat/>
    <w:pPr>
      <w:spacing w:before="0" w:after="240"/>
      <w:ind w:left="720" w:right="0" w:hanging="0"/>
      <w:contextualSpacing/>
    </w:pPr>
    <w:rPr/>
  </w:style>
  <w:style w:type="paragraph" w:styleId="NumberedBullets">
    <w:name w:val="Numbered Bullets"/>
    <w:basedOn w:val="ListParagraph"/>
    <w:qFormat/>
    <w:pPr/>
    <w:rPr>
      <w:szCs w:val="16"/>
    </w:rPr>
  </w:style>
  <w:style w:type="paragraph" w:styleId="Footnote">
    <w:name w:val="Footnote Text"/>
    <w:basedOn w:val="Normal"/>
    <w:pPr>
      <w:spacing w:lineRule="auto" w:line="360"/>
    </w:pPr>
    <w:rPr>
      <w:color w:val="585857"/>
      <w:sz w:val="18"/>
      <w:szCs w:val="18"/>
    </w:rPr>
  </w:style>
  <w:style w:type="paragraph" w:styleId="TOCHeading">
    <w:name w:val="TOC Heading"/>
    <w:basedOn w:val="Heading1"/>
    <w:next w:val="Normal"/>
    <w:qFormat/>
    <w:pPr>
      <w:keepNext w:val="true"/>
      <w:keepLines/>
      <w:numPr>
        <w:ilvl w:val="0"/>
        <w:numId w:val="0"/>
      </w:numPr>
      <w:spacing w:lineRule="auto" w:line="276" w:before="480" w:after="0"/>
    </w:pPr>
    <w:rPr>
      <w:color w:val="1674A1"/>
      <w:lang w:val="en-US" w:eastAsia="en-US"/>
    </w:rPr>
  </w:style>
  <w:style w:type="paragraph" w:styleId="Contents2">
    <w:name w:val="TOC 2"/>
    <w:basedOn w:val="Normal"/>
    <w:next w:val="Normal"/>
    <w:pPr>
      <w:spacing w:before="0" w:after="0"/>
      <w:ind w:left="220" w:right="0" w:hanging="0"/>
    </w:pPr>
    <w:rPr>
      <w:rFonts w:ascii="Century Gothic" w:hAnsi="Century Gothic" w:cs="Century Gothic"/>
      <w:bCs w:val="false"/>
      <w:smallCaps/>
    </w:rPr>
  </w:style>
  <w:style w:type="paragraph" w:styleId="Contents1">
    <w:name w:val="TOC 1"/>
    <w:basedOn w:val="Normal"/>
    <w:next w:val="Normal"/>
    <w:pPr>
      <w:spacing w:before="120" w:after="120"/>
      <w:ind w:left="0" w:right="2345" w:hanging="0"/>
    </w:pPr>
    <w:rPr>
      <w:b/>
      <w:caps/>
      <w:color w:val="0B9C3C"/>
    </w:rPr>
  </w:style>
  <w:style w:type="paragraph" w:styleId="Contents3">
    <w:name w:val="TOC 3"/>
    <w:basedOn w:val="Normal"/>
    <w:next w:val="Normal"/>
    <w:pPr>
      <w:spacing w:before="0" w:after="0"/>
      <w:ind w:left="440" w:right="0" w:hanging="0"/>
    </w:pPr>
    <w:rPr>
      <w:rFonts w:ascii="Century Gothic" w:hAnsi="Century Gothic" w:cs="Century Gothic"/>
      <w:bCs w:val="false"/>
      <w:i/>
      <w:iCs/>
    </w:rPr>
  </w:style>
  <w:style w:type="paragraph" w:styleId="Contents4">
    <w:name w:val="TOC 4"/>
    <w:basedOn w:val="Normal"/>
    <w:next w:val="Normal"/>
    <w:pPr>
      <w:spacing w:before="0" w:after="0"/>
      <w:ind w:left="660" w:right="0" w:hanging="0"/>
    </w:pPr>
    <w:rPr>
      <w:rFonts w:ascii="Century Gothic" w:hAnsi="Century Gothic" w:cs="Century Gothic"/>
      <w:bCs w:val="false"/>
      <w:sz w:val="18"/>
      <w:szCs w:val="18"/>
    </w:rPr>
  </w:style>
  <w:style w:type="paragraph" w:styleId="Contents5">
    <w:name w:val="TOC 5"/>
    <w:basedOn w:val="Normal"/>
    <w:next w:val="Normal"/>
    <w:pPr>
      <w:spacing w:before="0" w:after="0"/>
      <w:ind w:left="880" w:right="0" w:hanging="0"/>
    </w:pPr>
    <w:rPr>
      <w:rFonts w:ascii="Century Gothic" w:hAnsi="Century Gothic" w:cs="Century Gothic"/>
      <w:bCs w:val="false"/>
      <w:sz w:val="18"/>
      <w:szCs w:val="18"/>
    </w:rPr>
  </w:style>
  <w:style w:type="paragraph" w:styleId="Contents6">
    <w:name w:val="TOC 6"/>
    <w:basedOn w:val="Normal"/>
    <w:next w:val="Normal"/>
    <w:pPr>
      <w:spacing w:before="0" w:after="0"/>
      <w:ind w:left="1100" w:right="0" w:hanging="0"/>
    </w:pPr>
    <w:rPr>
      <w:rFonts w:ascii="Century Gothic" w:hAnsi="Century Gothic" w:cs="Century Gothic"/>
      <w:bCs w:val="false"/>
      <w:sz w:val="18"/>
      <w:szCs w:val="18"/>
    </w:rPr>
  </w:style>
  <w:style w:type="paragraph" w:styleId="Contents7">
    <w:name w:val="TOC 7"/>
    <w:basedOn w:val="Normal"/>
    <w:next w:val="Normal"/>
    <w:pPr>
      <w:spacing w:before="0" w:after="0"/>
      <w:ind w:left="1320" w:right="0" w:hanging="0"/>
    </w:pPr>
    <w:rPr>
      <w:rFonts w:ascii="Century Gothic" w:hAnsi="Century Gothic" w:cs="Century Gothic"/>
      <w:bCs w:val="false"/>
      <w:sz w:val="18"/>
      <w:szCs w:val="18"/>
    </w:rPr>
  </w:style>
  <w:style w:type="paragraph" w:styleId="Contents8">
    <w:name w:val="TOC 8"/>
    <w:basedOn w:val="Normal"/>
    <w:next w:val="Normal"/>
    <w:pPr>
      <w:spacing w:before="0" w:after="0"/>
      <w:ind w:left="1540" w:right="0" w:hanging="0"/>
    </w:pPr>
    <w:rPr>
      <w:rFonts w:ascii="Century Gothic" w:hAnsi="Century Gothic" w:cs="Century Gothic"/>
      <w:bCs w:val="false"/>
      <w:sz w:val="18"/>
      <w:szCs w:val="18"/>
    </w:rPr>
  </w:style>
  <w:style w:type="paragraph" w:styleId="Contents9">
    <w:name w:val="TOC 9"/>
    <w:basedOn w:val="Normal"/>
    <w:next w:val="Normal"/>
    <w:pPr>
      <w:spacing w:before="0" w:after="0"/>
      <w:ind w:left="1760" w:right="0" w:hanging="0"/>
    </w:pPr>
    <w:rPr>
      <w:rFonts w:ascii="Century Gothic" w:hAnsi="Century Gothic" w:cs="Century Gothic"/>
      <w:bCs w:val="false"/>
      <w:sz w:val="18"/>
      <w:szCs w:val="18"/>
    </w:rPr>
  </w:style>
  <w:style w:type="paragraph" w:styleId="NoSpacing">
    <w:name w:val="No Spacing"/>
    <w:qFormat/>
    <w:pPr>
      <w:widowControl/>
      <w:suppressAutoHyphens w:val="true"/>
      <w:bidi w:val="0"/>
      <w:spacing w:before="0" w:after="0"/>
      <w:jc w:val="left"/>
    </w:pPr>
    <w:rPr>
      <w:rFonts w:ascii="Arial" w:hAnsi="Arial" w:eastAsia="Times New Roman" w:cs="Arial"/>
      <w:bCs/>
      <w:color w:val="4C4C4D"/>
      <w:spacing w:val="-2"/>
      <w:kern w:val="0"/>
      <w:sz w:val="22"/>
      <w:szCs w:val="20"/>
      <w:lang w:val="en-US" w:eastAsia="en-US" w:bidi="ar-SA"/>
    </w:rPr>
  </w:style>
  <w:style w:type="paragraph" w:styleId="BulletPoints">
    <w:name w:val="Bullet Points"/>
    <w:basedOn w:val="Normal"/>
    <w:qFormat/>
    <w:pPr>
      <w:spacing w:before="0" w:after="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cs="Times New Roman"/>
      <w:bCs w:val="false"/>
      <w:color w:val="auto"/>
      <w:sz w:val="24"/>
      <w:szCs w:val="24"/>
      <w:lang w:val="en-GB" w:eastAsia="en-GB"/>
    </w:rPr>
  </w:style>
  <w:style w:type="paragraph" w:styleId="4Bulletedcopyblue">
    <w:name w:val="4 Bulleted copy blue"/>
    <w:basedOn w:val="Normal"/>
    <w:qFormat/>
    <w:pPr>
      <w:spacing w:lineRule="auto" w:line="240" w:before="0" w:after="60"/>
    </w:pPr>
    <w:rPr>
      <w:rFonts w:eastAsia="MS Mincho"/>
      <w:bCs w:val="false"/>
      <w:lang w:val="en-GB"/>
    </w:rPr>
  </w:style>
  <w:style w:type="paragraph" w:styleId="ListBullet">
    <w:name w:val="List Bullet"/>
    <w:basedOn w:val="Normal"/>
    <w:qFormat/>
    <w:pPr>
      <w:spacing w:lineRule="auto" w:line="276" w:before="0" w:after="200"/>
      <w:ind w:left="0" w:right="0" w:hanging="0"/>
      <w:contextualSpacing/>
    </w:pPr>
    <w:rPr>
      <w:rFonts w:eastAsia="Arial" w:cs=""/>
      <w:bCs w:val="false"/>
      <w:color w:val="auto"/>
      <w:sz w:val="21"/>
      <w:szCs w:val="2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2026-06-09T12:35:00Z</dcterms:created>
  <dc:creator>Ed Longton</dc:creator>
  <dc:description/>
  <dc:language>en-US</dc:language>
  <cp:lastModifiedBy>Green, Sue</cp:lastModifiedBy>
  <cp:lastPrinted>1995-11-21T17:41:00Z</cp:lastPrinted>
  <dcterms:modified xsi:type="dcterms:W3CDTF">2026-06-09T12:35:00Z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GrammarlyDocumentId">
    <vt:lpwstr>f38d0305131e18efe172796f3f29a1ea5d5949d86f52ff56d5c68fa7407a360e</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