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240" w:after="0"/>
        <w:ind w:left="-426" w:right="-784"/>
        <w:rPr>
          <w:rFonts w:cs="Calibri"/>
          <w:sz w:val="24"/>
          <w:szCs w:val="24"/>
        </w:rPr>
      </w:pPr>
      <w:r>
        <w:rPr>
          <w:rFonts w:cs="Calibri"/>
          <w:sz w:val="24"/>
          <w:szCs w:val="24"/>
        </w:rPr>
        <mc:AlternateContent>
          <mc:Choice Requires="wps">
            <w:drawing>
              <wp:anchor behindDoc="0" distT="0" distB="0" distL="114935" distR="114935" simplePos="0" locked="0" layoutInCell="0" allowOverlap="1" relativeHeight="2">
                <wp:simplePos x="0" y="0"/>
                <wp:positionH relativeFrom="column">
                  <wp:posOffset>-355600</wp:posOffset>
                </wp:positionH>
                <wp:positionV relativeFrom="paragraph">
                  <wp:posOffset>5080</wp:posOffset>
                </wp:positionV>
                <wp:extent cx="8039100" cy="313690"/>
                <wp:effectExtent l="12700" t="12700" r="12700" b="12700"/>
                <wp:wrapTopAndBottom/>
                <wp:docPr id="1" name=""/>
                <a:graphic xmlns:a="http://schemas.openxmlformats.org/drawingml/2006/main">
                  <a:graphicData uri="http://schemas.microsoft.com/office/word/2010/wordprocessingShape">
                    <wps:wsp>
                      <wps:cNvSpPr txBox="1"/>
                      <wps:spPr>
                        <a:xfrm>
                          <a:off x="0" y="0"/>
                          <a:ext cx="8039160" cy="313560"/>
                        </a:xfrm>
                        <a:prstGeom prst="rect">
                          <a:avLst/>
                        </a:prstGeom>
                        <a:solidFill>
                          <a:srgbClr val="b72621"/>
                        </a:solidFill>
                        <a:ln w="25560">
                          <a:solidFill>
                            <a:srgbClr val="b72621"/>
                          </a:solidFill>
                          <a:round/>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b72621" stroked="t" o:allowincell="f" style="position:absolute;margin-left:-28pt;margin-top:0.4pt;width:632.95pt;height:24.65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48d9de"/>
                <v:stroke color="#b72621" weight="25560" joinstyle="round" endcap="flat"/>
                <w10:wrap type="topAndBottom"/>
              </v:shape>
            </w:pict>
          </mc:Fallback>
        </mc:AlternateContent>
        <w:drawing>
          <wp:anchor behindDoc="0" distT="0" distB="0" distL="0" distR="0" simplePos="0" locked="0" layoutInCell="1" allowOverlap="1" relativeHeight="9">
            <wp:simplePos x="0" y="0"/>
            <wp:positionH relativeFrom="column">
              <wp:posOffset>7833360</wp:posOffset>
            </wp:positionH>
            <wp:positionV relativeFrom="paragraph">
              <wp:posOffset>-264160</wp:posOffset>
            </wp:positionV>
            <wp:extent cx="1495425" cy="149542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24" t="-24" r="-24" b="-24"/>
                    <a:stretch>
                      <a:fillRect/>
                    </a:stretch>
                  </pic:blipFill>
                  <pic:spPr bwMode="auto">
                    <a:xfrm>
                      <a:off x="0" y="0"/>
                      <a:ext cx="1495425" cy="1495425"/>
                    </a:xfrm>
                    <a:prstGeom prst="rect">
                      <a:avLst/>
                    </a:prstGeom>
                  </pic:spPr>
                </pic:pic>
              </a:graphicData>
            </a:graphic>
          </wp:anchor>
        </w:drawing>
        <w:t>Service:</w:t>
        <w:tab/>
        <w:tab/>
        <w:t>Housing Options Service Trafford (HOST) – Place Directorate</w:t>
        <w:tab/>
        <w:tab/>
      </w:r>
      <w:r>
        <mc:AlternateContent>
          <mc:Choice Requires="wps">
            <w:drawing>
              <wp:anchor behindDoc="0" distT="72390" distB="72390" distL="114300" distR="133350" simplePos="0" locked="0" layoutInCell="1" allowOverlap="1" relativeHeight="12">
                <wp:simplePos x="0" y="0"/>
                <wp:positionH relativeFrom="column">
                  <wp:posOffset>-355600</wp:posOffset>
                </wp:positionH>
                <wp:positionV relativeFrom="paragraph">
                  <wp:posOffset>5080</wp:posOffset>
                </wp:positionV>
                <wp:extent cx="8039100" cy="313690"/>
                <wp:effectExtent l="0" t="0" r="0" b="0"/>
                <wp:wrapNone/>
                <wp:docPr id="3" name="Frame1"/>
                <a:graphic xmlns:a="http://schemas.openxmlformats.org/drawingml/2006/main">
                  <a:graphicData uri="http://schemas.microsoft.com/office/word/2010/wordprocessingShape">
                    <wps:wsp>
                      <wps:cNvSpPr txBox="1"/>
                      <wps:spPr>
                        <a:xfrm>
                          <a:off x="0" y="0"/>
                          <a:ext cx="8039100" cy="313690"/>
                        </a:xfrm>
                        <a:prstGeom prst="rect"/>
                        <a:solidFill>
                          <a:srgbClr val="FFFFFF"/>
                        </a:solidFill>
                      </wps:spPr>
                      <wps:txbx>
                        <w:txbxContent>
                          <w:p>
                            <w:pPr>
                              <w:pStyle w:val="FrameContents"/>
                              <w:rPr>
                                <w:rFonts w:cs="Calibri"/>
                                <w:b/>
                                <w:color w:val="FFFFFF"/>
                                <w:sz w:val="28"/>
                              </w:rPr>
                            </w:pPr>
                            <w:r>
                              <w:rPr>
                                <w:rFonts w:cs="Calibri"/>
                                <w:b/>
                                <w:color w:val="FFFFFF"/>
                                <w:sz w:val="28"/>
                              </w:rPr>
                              <w:t>Private Rented Sector Lead</w:t>
                              <w:tab/>
                              <w:tab/>
                              <w:tab/>
                              <w:tab/>
                              <w:tab/>
                              <w:tab/>
                              <w:tab/>
                              <w:tab/>
                              <w:tab/>
                              <w:tab/>
                              <w:t>Role Profile</w:t>
                            </w:r>
                          </w:p>
                          <w:p>
                            <w:pPr>
                              <w:pStyle w:val="FrameContents"/>
                              <w:spacing w:before="0" w:after="200"/>
                              <w:jc w:val="center"/>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633pt;height:24.7pt;mso-wrap-distance-left:9pt;mso-wrap-distance-right:10.5pt;mso-wrap-distance-top:5.7pt;mso-wrap-distance-bottom:5.7pt;margin-top:0.4pt;mso-position-vertical-relative:text;margin-left:-28pt;mso-position-horizontal-relative:text">
                <v:textbox inset="0.100694444444444in,0.0506944444444444in,0.100694444444444in,0.0506944444444444in">
                  <w:txbxContent>
                    <w:p>
                      <w:pPr>
                        <w:pStyle w:val="FrameContents"/>
                        <w:rPr>
                          <w:rFonts w:cs="Calibri"/>
                          <w:b/>
                          <w:color w:val="FFFFFF"/>
                          <w:sz w:val="28"/>
                        </w:rPr>
                      </w:pPr>
                      <w:r>
                        <w:rPr>
                          <w:rFonts w:cs="Calibri"/>
                          <w:b/>
                          <w:color w:val="FFFFFF"/>
                          <w:sz w:val="28"/>
                        </w:rPr>
                        <w:t>Private Rented Sector Lead</w:t>
                        <w:tab/>
                        <w:tab/>
                        <w:tab/>
                        <w:tab/>
                        <w:tab/>
                        <w:tab/>
                        <w:tab/>
                        <w:tab/>
                        <w:tab/>
                        <w:tab/>
                        <w:t>Role Profile</w:t>
                      </w:r>
                    </w:p>
                    <w:p>
                      <w:pPr>
                        <w:pStyle w:val="FrameContents"/>
                        <w:spacing w:before="0" w:after="200"/>
                        <w:jc w:val="center"/>
                        <w:rPr>
                          <w:color w:val="FFFFFF"/>
                        </w:rPr>
                      </w:pPr>
                      <w:r>
                        <w:rPr>
                          <w:color w:val="FFFFFF"/>
                        </w:rPr>
                      </w:r>
                    </w:p>
                  </w:txbxContent>
                </v:textbox>
                <w10:wrap type="none"/>
              </v:rect>
            </w:pict>
          </mc:Fallback>
        </mc:AlternateContent>
      </w:r>
    </w:p>
    <w:p>
      <w:pPr>
        <w:pStyle w:val="Default"/>
        <w:spacing w:lineRule="auto" w:line="276"/>
        <w:ind w:left="-425" w:right="0"/>
        <w:rPr/>
      </w:pPr>
      <w:r>
        <w:rPr>
          <w:rFonts w:cs="Calibri" w:ascii="Calibri" w:hAnsi="Calibri"/>
          <w:b/>
        </w:rPr>
        <w:t>Band:</w:t>
      </w:r>
      <w:r>
        <w:rPr>
          <w:rFonts w:cs="Calibri" w:ascii="Calibri" w:hAnsi="Calibri"/>
        </w:rPr>
        <w:t xml:space="preserve"> </w:t>
      </w:r>
      <w:r>
        <w:rPr>
          <w:rFonts w:cs="Calibri" w:ascii="Calibri" w:hAnsi="Calibri"/>
          <w:color w:val="auto"/>
        </w:rPr>
        <w:tab/>
        <w:t xml:space="preserve"> </w:t>
        <w:tab/>
        <w:t>Band 7</w:t>
      </w:r>
      <w:r>
        <w:rPr>
          <w:rFonts w:cs="Calibri" w:ascii="Calibri" w:hAnsi="Calibri"/>
          <w:i/>
          <w:iCs/>
          <w:color w:val="auto"/>
        </w:rPr>
        <w:t xml:space="preserve"> </w:t>
      </w:r>
    </w:p>
    <w:p>
      <w:pPr>
        <w:pStyle w:val="Normal"/>
        <w:spacing w:before="0" w:after="0"/>
        <w:ind w:left="-425" w:right="0"/>
        <w:rPr/>
      </w:pPr>
      <w:r>
        <w:rPr>
          <w:rFonts w:cs="Calibri"/>
          <w:b/>
          <w:sz w:val="24"/>
          <w:szCs w:val="24"/>
        </w:rPr>
        <w:t>Reporting to:</w:t>
        <w:tab/>
      </w:r>
      <w:r>
        <w:rPr>
          <w:rFonts w:cs="Calibri"/>
          <w:bCs/>
          <w:sz w:val="24"/>
          <w:szCs w:val="24"/>
        </w:rPr>
        <w:t>Accommodation Team Leader</w:t>
      </w:r>
      <w:r>
        <w:rPr>
          <w:rFonts w:cs="Calibri"/>
          <w:bCs/>
          <w:i/>
          <w:iCs/>
          <w:sz w:val="24"/>
          <w:szCs w:val="24"/>
        </w:rPr>
        <w:t xml:space="preserve"> </w:t>
      </w:r>
      <w:r>
        <w:rPr>
          <w:rFonts w:cs="Calibri"/>
          <w:b/>
          <w:sz w:val="24"/>
          <w:szCs w:val="24"/>
        </w:rPr>
        <w:tab/>
      </w:r>
    </w:p>
    <w:p>
      <w:pPr>
        <w:pStyle w:val="Normal"/>
        <w:spacing w:before="0" w:after="0"/>
        <w:ind w:left="-425" w:right="0"/>
        <w:rPr/>
      </w:pPr>
      <w:r>
        <w:rPr>
          <w:rFonts w:cs="Calibri"/>
          <w:b/>
          <w:sz w:val="24"/>
          <w:szCs w:val="24"/>
        </w:rPr>
        <w:t xml:space="preserve">Responsible for:  </w:t>
        <w:tab/>
      </w:r>
      <w:r>
        <w:rPr>
          <w:rFonts w:cs="Calibri"/>
          <w:bCs/>
          <w:sz w:val="24"/>
          <w:szCs w:val="24"/>
        </w:rPr>
        <w:t>Private Rented Sector Support Officer</w:t>
      </w:r>
      <w:r>
        <w:rPr>
          <w:rFonts w:cs="Calibri"/>
          <w:bCs/>
          <w:i/>
          <w:iCs/>
          <w:sz w:val="24"/>
          <w:szCs w:val="24"/>
        </w:rPr>
        <w:t xml:space="preserve"> </w:t>
      </w:r>
    </w:p>
    <w:p>
      <w:pPr>
        <w:pStyle w:val="Normal"/>
        <w:spacing w:before="0" w:after="0"/>
        <w:ind w:left="-426" w:right="0"/>
        <w:rPr>
          <w:rFonts w:cs="Calibri"/>
          <w:b/>
          <w:sz w:val="8"/>
          <w:szCs w:val="8"/>
        </w:rPr>
      </w:pPr>
      <w:r>
        <w:rPr>
          <w:rFonts w:cs="Calibri"/>
          <w:b/>
          <w:sz w:val="8"/>
          <w:szCs w:val="8"/>
        </w:rPr>
      </w:r>
    </w:p>
    <w:p>
      <w:pPr>
        <w:pStyle w:val="Normal"/>
        <w:spacing w:before="0" w:after="0"/>
        <w:ind w:left="-426" w:right="0"/>
        <w:rPr>
          <w:rFonts w:cs="Calibri"/>
          <w:b/>
          <w:sz w:val="4"/>
          <w:szCs w:val="4"/>
        </w:rPr>
      </w:pPr>
      <w:r>
        <w:rPr>
          <w:rFonts w:cs="Calibri"/>
          <w:b/>
          <w:sz w:val="4"/>
          <w:szCs w:val="4"/>
        </w:rPr>
        <mc:AlternateContent>
          <mc:Choice Requires="wps">
            <w:drawing>
              <wp:anchor behindDoc="0" distT="0" distB="0" distL="114935" distR="114935" simplePos="0" locked="0" layoutInCell="1" allowOverlap="1" relativeHeight="8">
                <wp:simplePos x="0" y="0"/>
                <wp:positionH relativeFrom="column">
                  <wp:posOffset>-361950</wp:posOffset>
                </wp:positionH>
                <wp:positionV relativeFrom="paragraph">
                  <wp:posOffset>78105</wp:posOffset>
                </wp:positionV>
                <wp:extent cx="4654550" cy="295275"/>
                <wp:effectExtent l="12700" t="12700" r="12700" b="12700"/>
                <wp:wrapNone/>
                <wp:docPr id="4" name=""/>
                <a:graphic xmlns:a="http://schemas.openxmlformats.org/drawingml/2006/main">
                  <a:graphicData uri="http://schemas.microsoft.com/office/word/2010/wordprocessingShape">
                    <wps:wsp>
                      <wps:cNvSpPr txBox="1"/>
                      <wps:spPr>
                        <a:xfrm>
                          <a:off x="0" y="0"/>
                          <a:ext cx="4654440" cy="29520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o:allowincell="f" style="position:absolute;margin-left:-28.5pt;margin-top:6.15pt;width:366.45pt;height:23.2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ff774d"/>
                <v:stroke color="#0088b2" weight="25560" joinstyle="round" endcap="flat"/>
                <w10:wrap type="none"/>
              </v:shape>
            </w:pict>
          </mc:Fallback>
        </mc:AlternateContent>
      </w:r>
      <w:r>
        <mc:AlternateContent>
          <mc:Choice Requires="wps">
            <w:drawing>
              <wp:anchor behindDoc="0" distT="72390" distB="72390" distL="0" distR="12700" simplePos="0" locked="0" layoutInCell="1" allowOverlap="1" relativeHeight="13">
                <wp:simplePos x="0" y="0"/>
                <wp:positionH relativeFrom="column">
                  <wp:posOffset>-361950</wp:posOffset>
                </wp:positionH>
                <wp:positionV relativeFrom="paragraph">
                  <wp:posOffset>78105</wp:posOffset>
                </wp:positionV>
                <wp:extent cx="4654550" cy="295275"/>
                <wp:effectExtent l="0" t="0" r="0" b="0"/>
                <wp:wrapNone/>
                <wp:docPr id="5" name="Frame2"/>
                <a:graphic xmlns:a="http://schemas.openxmlformats.org/drawingml/2006/main">
                  <a:graphicData uri="http://schemas.microsoft.com/office/word/2010/wordprocessingShape">
                    <wps:wsp>
                      <wps:cNvSpPr txBox="1"/>
                      <wps:spPr>
                        <a:xfrm>
                          <a:off x="0" y="0"/>
                          <a:ext cx="4654550" cy="295275"/>
                        </a:xfrm>
                        <a:prstGeom prst="rect"/>
                        <a:solidFill>
                          <a:srgbClr val="FFFFFF"/>
                        </a:solidFill>
                      </wps:spPr>
                      <wps:txbx>
                        <w:txbxContent>
                          <w:p>
                            <w:pPr>
                              <w:pStyle w:val="FrameContents"/>
                              <w:spacing w:before="0" w:after="200"/>
                              <w:rPr>
                                <w:rFonts w:cs="Calibri"/>
                                <w:b/>
                                <w:color w:val="FFFFFF"/>
                                <w:sz w:val="28"/>
                                <w:szCs w:val="24"/>
                              </w:rPr>
                            </w:pPr>
                            <w:r>
                              <w:rPr>
                                <w:rFonts w:cs="Calibri"/>
                                <w:b/>
                                <w:color w:val="FFFFFF"/>
                                <w:sz w:val="28"/>
                                <w:szCs w:val="24"/>
                              </w:rPr>
                              <w:t>About Us</w:t>
                            </w:r>
                          </w:p>
                        </w:txbxContent>
                      </wps:txbx>
                      <wps:bodyPr anchor="t" lIns="92075" tIns="46355" rIns="92075" bIns="46355">
                        <a:noAutofit/>
                      </wps:bodyPr>
                    </wps:wsp>
                  </a:graphicData>
                </a:graphic>
              </wp:anchor>
            </w:drawing>
          </mc:Choice>
          <mc:Fallback>
            <w:pict>
              <v:rect fillcolor="#FFFFFF" style="position:absolute;rotation:-0;width:366.5pt;height:23.25pt;mso-wrap-distance-left:0pt;mso-wrap-distance-right:1pt;mso-wrap-distance-top:5.7pt;mso-wrap-distance-bottom:5.7pt;margin-top:6.15pt;mso-position-vertical-relative:text;margin-left:-28.5pt;mso-position-horizontal-relative:text">
                <v:textbox inset="0.100694444444444in,0.0506944444444444in,0.100694444444444in,0.0506944444444444in">
                  <w:txbxContent>
                    <w:p>
                      <w:pPr>
                        <w:pStyle w:val="FrameContents"/>
                        <w:spacing w:before="0" w:after="200"/>
                        <w:rPr>
                          <w:rFonts w:cs="Calibri"/>
                          <w:b/>
                          <w:color w:val="FFFFFF"/>
                          <w:sz w:val="28"/>
                          <w:szCs w:val="24"/>
                        </w:rPr>
                      </w:pPr>
                      <w:r>
                        <w:rPr>
                          <w:rFonts w:cs="Calibri"/>
                          <w:b/>
                          <w:color w:val="FFFFFF"/>
                          <w:sz w:val="28"/>
                          <w:szCs w:val="24"/>
                        </w:rPr>
                        <w:t>About Us</w:t>
                      </w:r>
                    </w:p>
                  </w:txbxContent>
                </v:textbox>
                <w10:wrap type="none"/>
              </v:rect>
            </w:pict>
          </mc:Fallback>
        </mc:AlternateContent>
      </w:r>
    </w:p>
    <w:p>
      <w:pPr>
        <w:pStyle w:val="Normal"/>
        <w:rPr>
          <w:rFonts w:cs="Calibri"/>
          <w:sz w:val="4"/>
          <w:szCs w:val="4"/>
          <w:u w:val="single"/>
        </w:rPr>
      </w:pPr>
      <w:r>
        <w:rPr>
          <w:rFonts w:cs="Calibri"/>
          <w:sz w:val="4"/>
          <w:szCs w:val="4"/>
          <w:u w:val="single"/>
        </w:rPr>
        <mc:AlternateContent>
          <mc:Choice Requires="wps">
            <w:drawing>
              <wp:anchor behindDoc="0" distT="0" distB="0" distL="114935" distR="114935" simplePos="0" locked="0" layoutInCell="1" allowOverlap="1" relativeHeight="3">
                <wp:simplePos x="0" y="0"/>
                <wp:positionH relativeFrom="column">
                  <wp:posOffset>4508500</wp:posOffset>
                </wp:positionH>
                <wp:positionV relativeFrom="paragraph">
                  <wp:posOffset>42545</wp:posOffset>
                </wp:positionV>
                <wp:extent cx="4711700" cy="295275"/>
                <wp:effectExtent l="12700" t="12700" r="12700" b="12700"/>
                <wp:wrapNone/>
                <wp:docPr id="6" name=""/>
                <a:graphic xmlns:a="http://schemas.openxmlformats.org/drawingml/2006/main">
                  <a:graphicData uri="http://schemas.microsoft.com/office/word/2010/wordprocessingShape">
                    <wps:wsp>
                      <wps:cNvSpPr txBox="1"/>
                      <wps:spPr>
                        <a:xfrm>
                          <a:off x="0" y="0"/>
                          <a:ext cx="4711680" cy="29520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o:allowincell="f" style="position:absolute;margin-left:355pt;margin-top:3.35pt;width:370.95pt;height:23.2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ff774d"/>
                <v:stroke color="#0088b2" weight="25560" joinstyle="round" endcap="flat"/>
                <w10:wrap type="none"/>
              </v:shape>
            </w:pict>
          </mc:Fallback>
        </mc:AlternateContent>
        <mc:AlternateContent>
          <mc:Choice Requires="wps">
            <w:drawing>
              <wp:anchor behindDoc="0" distT="0" distB="0" distL="114935" distR="114935" simplePos="0" locked="0" layoutInCell="1" allowOverlap="1" relativeHeight="4">
                <wp:simplePos x="0" y="0"/>
                <wp:positionH relativeFrom="column">
                  <wp:posOffset>-393700</wp:posOffset>
                </wp:positionH>
                <wp:positionV relativeFrom="paragraph">
                  <wp:posOffset>346075</wp:posOffset>
                </wp:positionV>
                <wp:extent cx="4819015" cy="5118100"/>
                <wp:effectExtent l="0" t="0" r="0" b="0"/>
                <wp:wrapNone/>
                <wp:docPr id="7" name=""/>
                <a:graphic xmlns:a="http://schemas.openxmlformats.org/drawingml/2006/main">
                  <a:graphicData uri="http://schemas.microsoft.com/office/word/2010/wordprocessingShape">
                    <wps:wsp>
                      <wps:cNvSpPr txBox="1"/>
                      <wps:spPr>
                        <a:xfrm>
                          <a:off x="0" y="0"/>
                          <a:ext cx="4818960" cy="5118120"/>
                        </a:xfrm>
                        <a:prstGeom prst="rect">
                          <a:avLst/>
                        </a:prstGeom>
                        <a:noFill/>
                        <a:ln w="0">
                          <a:noFill/>
                        </a:ln>
                      </wps:spPr>
                      <wps:bodyPr/>
                    </wps:wsp>
                  </a:graphicData>
                </a:graphic>
              </wp:anchor>
            </w:drawing>
          </mc:Choice>
          <mc:Fallback>
            <w:pict>
              <v:shape id="shape_0" stroked="f" o:allowincell="f" style="position:absolute;margin-left:-31pt;margin-top:27.25pt;width:379.4pt;height:402.95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0" distT="72390" distB="72390" distL="0" distR="0" simplePos="0" locked="0" layoutInCell="1" allowOverlap="1" relativeHeight="14">
                <wp:simplePos x="0" y="0"/>
                <wp:positionH relativeFrom="column">
                  <wp:posOffset>-393700</wp:posOffset>
                </wp:positionH>
                <wp:positionV relativeFrom="paragraph">
                  <wp:posOffset>346075</wp:posOffset>
                </wp:positionV>
                <wp:extent cx="4819015" cy="5086985"/>
                <wp:effectExtent l="0" t="0" r="0" b="0"/>
                <wp:wrapNone/>
                <wp:docPr id="8" name="Frame3"/>
                <a:graphic xmlns:a="http://schemas.openxmlformats.org/drawingml/2006/main">
                  <a:graphicData uri="http://schemas.microsoft.com/office/word/2010/wordprocessingShape">
                    <wps:wsp>
                      <wps:cNvSpPr txBox="1"/>
                      <wps:spPr>
                        <a:xfrm>
                          <a:off x="0" y="0"/>
                          <a:ext cx="4819015" cy="5086985"/>
                        </a:xfrm>
                        <a:prstGeom prst="rect"/>
                        <a:solidFill>
                          <a:srgbClr val="FFFFFF"/>
                        </a:solidFill>
                      </wps:spPr>
                      <wps:txbx>
                        <w:txbxContent>
                          <w:p>
                            <w:pPr>
                              <w:pStyle w:val="FrameContents"/>
                              <w:spacing w:lineRule="auto" w:line="240"/>
                              <w:rPr/>
                            </w:pPr>
                            <w:r>
                              <w:rPr>
                                <w:rFonts w:cs="Calibri"/>
                                <w:sz w:val="24"/>
                                <w:szCs w:val="24"/>
                              </w:rPr>
                              <w:t>Trafford is a great place to live, work, learn and visit.</w:t>
                            </w:r>
                            <w:r>
                              <w:rPr>
                                <w:rFonts w:cs="Calibri"/>
                                <w:b/>
                                <w:sz w:val="24"/>
                                <w:szCs w:val="24"/>
                              </w:rPr>
                              <w:t xml:space="preserve"> </w:t>
                            </w:r>
                            <w:r>
                              <w:rPr>
                                <w:rStyle w:val="Strong"/>
                                <w:rFonts w:cs="Calibri"/>
                                <w:b w:val="false"/>
                                <w:sz w:val="24"/>
                                <w:szCs w:val="24"/>
                                <w:lang w:val="en"/>
                              </w:rPr>
                              <w:t>From its leafy suburbs, to its more urban areas, the borough takes pride in its strong, diverse communities, its cultural and sporting heritage and its position at the heart of the region’s economic powerhouse.</w:t>
                            </w:r>
                          </w:p>
                          <w:p>
                            <w:pPr>
                              <w:pStyle w:val="FrameContents"/>
                              <w:spacing w:lineRule="auto" w:line="240"/>
                              <w:rPr>
                                <w:rFonts w:cs="Calibri"/>
                                <w:sz w:val="24"/>
                                <w:szCs w:val="24"/>
                              </w:rPr>
                            </w:pPr>
                            <w:r>
                              <w:rPr>
                                <w:rFonts w:cs="Calibri"/>
                                <w:sz w:val="24"/>
                                <w:szCs w:val="24"/>
                              </w:rPr>
                              <w:t xml:space="preserve">Trafford Council and its partners in the public, private and third sectors have a Vision which sees us working together to close inequality gaps and maximise Trafford’s huge potential. </w:t>
                            </w:r>
                          </w:p>
                          <w:p>
                            <w:pPr>
                              <w:pStyle w:val="FrameContents"/>
                              <w:spacing w:lineRule="auto" w:line="240"/>
                              <w:jc w:val="center"/>
                              <w:rPr>
                                <w:rFonts w:cs="Calibri"/>
                                <w:b/>
                                <w:i/>
                                <w:i/>
                                <w:sz w:val="24"/>
                                <w:szCs w:val="24"/>
                              </w:rPr>
                            </w:pPr>
                            <w:r>
                              <w:rPr>
                                <w:rFonts w:cs="Calibri"/>
                                <w:b/>
                                <w:i/>
                                <w:sz w:val="24"/>
                                <w:szCs w:val="24"/>
                              </w:rPr>
                              <w:t>Our vision: Trafford – where all our residents, businesses and communities prosper</w:t>
                            </w:r>
                          </w:p>
                          <w:p>
                            <w:pPr>
                              <w:pStyle w:val="FrameContents"/>
                              <w:spacing w:lineRule="auto" w:line="240"/>
                              <w:rPr>
                                <w:rFonts w:cs="Calibri"/>
                                <w:sz w:val="24"/>
                                <w:szCs w:val="24"/>
                              </w:rPr>
                            </w:pPr>
                            <w:r>
                              <w:rPr>
                                <w:rFonts w:cs="Calibri"/>
                                <w:sz w:val="24"/>
                                <w:szCs w:val="24"/>
                              </w:rPr>
                              <w:t>At the heart of our vision is a common cause – we want to make Trafford a better borough. We want to make it a place where everyone has a chance to succeed and where everybody has a voice. Through our new vision, we are making a commitment to work together across different services and agencies to make the best use of our resources.</w:t>
                            </w:r>
                          </w:p>
                          <w:p>
                            <w:pPr>
                              <w:pStyle w:val="NormalWeb"/>
                              <w:spacing w:before="160" w:after="0"/>
                              <w:ind w:hanging="547" w:left="547" w:right="0"/>
                              <w:rPr/>
                            </w:pPr>
                            <w:r>
                              <w:rPr/>
                              <w:drawing>
                                <wp:inline distT="0" distB="0" distL="0" distR="0">
                                  <wp:extent cx="4477385" cy="1916430"/>
                                  <wp:effectExtent l="0" t="0" r="0" b="0"/>
                                  <wp:docPr id="9"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
                                          <pic:cNvPicPr>
                                            <a:picLocks noChangeAspect="1" noChangeArrowheads="1"/>
                                          </pic:cNvPicPr>
                                        </pic:nvPicPr>
                                        <pic:blipFill>
                                          <a:blip r:embed="rId3"/>
                                          <a:srcRect l="-9" t="-22" r="-9" b="-22"/>
                                          <a:stretch>
                                            <a:fillRect/>
                                          </a:stretch>
                                        </pic:blipFill>
                                        <pic:spPr bwMode="auto">
                                          <a:xfrm>
                                            <a:off x="0" y="0"/>
                                            <a:ext cx="4477385" cy="191643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79.45pt;height:400.55pt;mso-wrap-distance-left:0pt;mso-wrap-distance-right:0pt;mso-wrap-distance-top:5.7pt;mso-wrap-distance-bottom:5.7pt;margin-top:27.25pt;mso-position-vertical-relative:text;margin-left:-31pt;mso-position-horizontal-relative:text">
                <v:textbox inset="0.100694444444444in,0.0506944444444444in,0.100694444444444in,0.0506944444444444in">
                  <w:txbxContent>
                    <w:p>
                      <w:pPr>
                        <w:pStyle w:val="FrameContents"/>
                        <w:spacing w:lineRule="auto" w:line="240"/>
                        <w:rPr/>
                      </w:pPr>
                      <w:r>
                        <w:rPr>
                          <w:rFonts w:cs="Calibri"/>
                          <w:sz w:val="24"/>
                          <w:szCs w:val="24"/>
                        </w:rPr>
                        <w:t>Trafford is a great place to live, work, learn and visit.</w:t>
                      </w:r>
                      <w:r>
                        <w:rPr>
                          <w:rFonts w:cs="Calibri"/>
                          <w:b/>
                          <w:sz w:val="24"/>
                          <w:szCs w:val="24"/>
                        </w:rPr>
                        <w:t xml:space="preserve"> </w:t>
                      </w:r>
                      <w:r>
                        <w:rPr>
                          <w:rStyle w:val="Strong"/>
                          <w:rFonts w:cs="Calibri"/>
                          <w:b w:val="false"/>
                          <w:sz w:val="24"/>
                          <w:szCs w:val="24"/>
                          <w:lang w:val="en"/>
                        </w:rPr>
                        <w:t>From its leafy suburbs, to its more urban areas, the borough takes pride in its strong, diverse communities, its cultural and sporting heritage and its position at the heart of the region’s economic powerhouse.</w:t>
                      </w:r>
                    </w:p>
                    <w:p>
                      <w:pPr>
                        <w:pStyle w:val="FrameContents"/>
                        <w:spacing w:lineRule="auto" w:line="240"/>
                        <w:rPr>
                          <w:rFonts w:cs="Calibri"/>
                          <w:sz w:val="24"/>
                          <w:szCs w:val="24"/>
                        </w:rPr>
                      </w:pPr>
                      <w:r>
                        <w:rPr>
                          <w:rFonts w:cs="Calibri"/>
                          <w:sz w:val="24"/>
                          <w:szCs w:val="24"/>
                        </w:rPr>
                        <w:t xml:space="preserve">Trafford Council and its partners in the public, private and third sectors have a Vision which sees us working together to close inequality gaps and maximise Trafford’s huge potential. </w:t>
                      </w:r>
                    </w:p>
                    <w:p>
                      <w:pPr>
                        <w:pStyle w:val="FrameContents"/>
                        <w:spacing w:lineRule="auto" w:line="240"/>
                        <w:jc w:val="center"/>
                        <w:rPr>
                          <w:rFonts w:cs="Calibri"/>
                          <w:b/>
                          <w:i/>
                          <w:i/>
                          <w:sz w:val="24"/>
                          <w:szCs w:val="24"/>
                        </w:rPr>
                      </w:pPr>
                      <w:r>
                        <w:rPr>
                          <w:rFonts w:cs="Calibri"/>
                          <w:b/>
                          <w:i/>
                          <w:sz w:val="24"/>
                          <w:szCs w:val="24"/>
                        </w:rPr>
                        <w:t>Our vision: Trafford – where all our residents, businesses and communities prosper</w:t>
                      </w:r>
                    </w:p>
                    <w:p>
                      <w:pPr>
                        <w:pStyle w:val="FrameContents"/>
                        <w:spacing w:lineRule="auto" w:line="240"/>
                        <w:rPr>
                          <w:rFonts w:cs="Calibri"/>
                          <w:sz w:val="24"/>
                          <w:szCs w:val="24"/>
                        </w:rPr>
                      </w:pPr>
                      <w:r>
                        <w:rPr>
                          <w:rFonts w:cs="Calibri"/>
                          <w:sz w:val="24"/>
                          <w:szCs w:val="24"/>
                        </w:rPr>
                        <w:t>At the heart of our vision is a common cause – we want to make Trafford a better borough. We want to make it a place where everyone has a chance to succeed and where everybody has a voice. Through our new vision, we are making a commitment to work together across different services and agencies to make the best use of our resources.</w:t>
                      </w:r>
                    </w:p>
                    <w:p>
                      <w:pPr>
                        <w:pStyle w:val="NormalWeb"/>
                        <w:spacing w:before="160" w:after="0"/>
                        <w:ind w:hanging="547" w:left="547" w:right="0"/>
                        <w:rPr/>
                      </w:pPr>
                      <w:r>
                        <w:rPr/>
                        <w:drawing>
                          <wp:inline distT="0" distB="0" distL="0" distR="0">
                            <wp:extent cx="4477385" cy="1916430"/>
                            <wp:effectExtent l="0" t="0" r="0" b="0"/>
                            <wp:docPr id="1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pic:cNvPicPr>
                                      <a:picLocks noChangeAspect="1" noChangeArrowheads="1"/>
                                    </pic:cNvPicPr>
                                  </pic:nvPicPr>
                                  <pic:blipFill>
                                    <a:blip r:embed="rId4"/>
                                    <a:srcRect l="-9" t="-22" r="-9" b="-22"/>
                                    <a:stretch>
                                      <a:fillRect/>
                                    </a:stretch>
                                  </pic:blipFill>
                                  <pic:spPr bwMode="auto">
                                    <a:xfrm>
                                      <a:off x="0" y="0"/>
                                      <a:ext cx="4477385" cy="1916430"/>
                                    </a:xfrm>
                                    <a:prstGeom prst="rect">
                                      <a:avLst/>
                                    </a:prstGeom>
                                  </pic:spPr>
                                </pic:pic>
                              </a:graphicData>
                            </a:graphic>
                          </wp:inline>
                        </w:drawing>
                      </w:r>
                    </w:p>
                  </w:txbxContent>
                </v:textbox>
                <w10:wrap type="none"/>
              </v:rect>
            </w:pict>
          </mc:Fallback>
        </mc:AlternateContent>
      </w:r>
      <w:r>
        <mc:AlternateContent>
          <mc:Choice Requires="wps">
            <w:drawing>
              <wp:anchor behindDoc="0" distT="72390" distB="72390" distL="0" distR="12700" simplePos="0" locked="0" layoutInCell="1" allowOverlap="1" relativeHeight="16">
                <wp:simplePos x="0" y="0"/>
                <wp:positionH relativeFrom="column">
                  <wp:posOffset>4508500</wp:posOffset>
                </wp:positionH>
                <wp:positionV relativeFrom="paragraph">
                  <wp:posOffset>42545</wp:posOffset>
                </wp:positionV>
                <wp:extent cx="4711700" cy="295275"/>
                <wp:effectExtent l="0" t="0" r="0" b="0"/>
                <wp:wrapNone/>
                <wp:docPr id="11" name="Frame4"/>
                <a:graphic xmlns:a="http://schemas.openxmlformats.org/drawingml/2006/main">
                  <a:graphicData uri="http://schemas.microsoft.com/office/word/2010/wordprocessingShape">
                    <wps:wsp>
                      <wps:cNvSpPr txBox="1"/>
                      <wps:spPr>
                        <a:xfrm>
                          <a:off x="0" y="0"/>
                          <a:ext cx="4711700" cy="295275"/>
                        </a:xfrm>
                        <a:prstGeom prst="rect"/>
                        <a:solidFill>
                          <a:srgbClr val="FFFFFF"/>
                        </a:solidFill>
                      </wps:spPr>
                      <wps:txbx>
                        <w:txbxContent>
                          <w:p>
                            <w:pPr>
                              <w:pStyle w:val="FrameContents"/>
                              <w:spacing w:before="0" w:after="280"/>
                              <w:rPr>
                                <w:rFonts w:cs="Calibri"/>
                                <w:b/>
                                <w:color w:val="FFFFFF"/>
                                <w:sz w:val="28"/>
                                <w:szCs w:val="24"/>
                              </w:rPr>
                            </w:pPr>
                            <w:r>
                              <w:rPr>
                                <w:rFonts w:cs="Calibri"/>
                                <w:b/>
                                <w:color w:val="FFFFFF"/>
                                <w:sz w:val="28"/>
                                <w:szCs w:val="24"/>
                              </w:rPr>
                              <w:t>Our Culture</w:t>
                            </w:r>
                          </w:p>
                        </w:txbxContent>
                      </wps:txbx>
                      <wps:bodyPr anchor="t" lIns="92075" tIns="46355" rIns="92075" bIns="46355">
                        <a:noAutofit/>
                      </wps:bodyPr>
                    </wps:wsp>
                  </a:graphicData>
                </a:graphic>
              </wp:anchor>
            </w:drawing>
          </mc:Choice>
          <mc:Fallback>
            <w:pict>
              <v:rect fillcolor="#FFFFFF" style="position:absolute;rotation:-0;width:371pt;height:23.25pt;mso-wrap-distance-left:0pt;mso-wrap-distance-right:1pt;mso-wrap-distance-top:5.7pt;mso-wrap-distance-bottom:5.7pt;margin-top:3.35pt;mso-position-vertical-relative:text;margin-left:355pt;mso-position-horizontal-relative:text">
                <v:textbox inset="0.100694444444444in,0.0506944444444444in,0.100694444444444in,0.0506944444444444in">
                  <w:txbxContent>
                    <w:p>
                      <w:pPr>
                        <w:pStyle w:val="FrameContents"/>
                        <w:spacing w:before="0" w:after="280"/>
                        <w:rPr>
                          <w:rFonts w:cs="Calibri"/>
                          <w:b/>
                          <w:color w:val="FFFFFF"/>
                          <w:sz w:val="28"/>
                          <w:szCs w:val="24"/>
                        </w:rPr>
                      </w:pPr>
                      <w:r>
                        <w:rPr>
                          <w:rFonts w:cs="Calibri"/>
                          <w:b/>
                          <w:color w:val="FFFFFF"/>
                          <w:sz w:val="28"/>
                          <w:szCs w:val="24"/>
                        </w:rPr>
                        <w:t>Our Culture</w:t>
                      </w:r>
                    </w:p>
                  </w:txbxContent>
                </v:textbox>
                <w10:wrap type="none"/>
              </v:rect>
            </w:pict>
          </mc:Fallback>
        </mc:AlternateContent>
      </w:r>
    </w:p>
    <w:p>
      <w:pPr>
        <w:pStyle w:val="Normal"/>
        <w:rPr>
          <w:u w:val="single"/>
        </w:rPr>
      </w:pPr>
      <w:r>
        <w:rPr>
          <w:u w:val="single"/>
        </w:rPr>
        <mc:AlternateContent>
          <mc:Choice Requires="wps">
            <w:drawing>
              <wp:anchor behindDoc="0" distT="0" distB="0" distL="114935" distR="114935" simplePos="0" locked="0" layoutInCell="1" allowOverlap="1" relativeHeight="7">
                <wp:simplePos x="0" y="0"/>
                <wp:positionH relativeFrom="column">
                  <wp:posOffset>4495800</wp:posOffset>
                </wp:positionH>
                <wp:positionV relativeFrom="paragraph">
                  <wp:posOffset>36830</wp:posOffset>
                </wp:positionV>
                <wp:extent cx="4756150" cy="2073275"/>
                <wp:effectExtent l="0" t="0" r="0" b="0"/>
                <wp:wrapNone/>
                <wp:docPr id="12" name=""/>
                <a:graphic xmlns:a="http://schemas.openxmlformats.org/drawingml/2006/main">
                  <a:graphicData uri="http://schemas.microsoft.com/office/word/2010/wordprocessingShape">
                    <wps:wsp>
                      <wps:cNvSpPr txBox="1"/>
                      <wps:spPr>
                        <a:xfrm>
                          <a:off x="0" y="0"/>
                          <a:ext cx="4756320" cy="2073240"/>
                        </a:xfrm>
                        <a:prstGeom prst="rect">
                          <a:avLst/>
                        </a:prstGeom>
                        <a:solidFill>
                          <a:srgbClr val="ffffff"/>
                        </a:solidFill>
                        <a:ln w="0">
                          <a:noFill/>
                        </a:ln>
                      </wps:spPr>
                      <wps:bodyPr/>
                    </wps:wsp>
                  </a:graphicData>
                </a:graphic>
              </wp:anchor>
            </w:drawing>
          </mc:Choice>
          <mc:Fallback>
            <w:pict>
              <v:shape id="shape_0" fillcolor="white" stroked="f" o:allowincell="f" style="position:absolute;margin-left:354pt;margin-top:2.9pt;width:374.45pt;height:163.2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black"/>
                <v:stroke color="#3465a4" joinstyle="round" endcap="flat"/>
                <w10:wrap type="none"/>
              </v:shape>
            </w:pict>
          </mc:Fallback>
        </mc:AlternateContent>
      </w:r>
      <w:r>
        <mc:AlternateContent>
          <mc:Choice Requires="wps">
            <w:drawing>
              <wp:anchor behindDoc="0" distT="72390" distB="72390" distL="0" distR="6350" simplePos="0" locked="0" layoutInCell="1" allowOverlap="1" relativeHeight="17">
                <wp:simplePos x="0" y="0"/>
                <wp:positionH relativeFrom="column">
                  <wp:posOffset>4495800</wp:posOffset>
                </wp:positionH>
                <wp:positionV relativeFrom="paragraph">
                  <wp:posOffset>36830</wp:posOffset>
                </wp:positionV>
                <wp:extent cx="4756150" cy="2073275"/>
                <wp:effectExtent l="0" t="0" r="0" b="0"/>
                <wp:wrapNone/>
                <wp:docPr id="13" name="Frame5"/>
                <a:graphic xmlns:a="http://schemas.openxmlformats.org/drawingml/2006/main">
                  <a:graphicData uri="http://schemas.microsoft.com/office/word/2010/wordprocessingShape">
                    <wps:wsp>
                      <wps:cNvSpPr txBox="1"/>
                      <wps:spPr>
                        <a:xfrm>
                          <a:off x="0" y="0"/>
                          <a:ext cx="4756150" cy="2073275"/>
                        </a:xfrm>
                        <a:prstGeom prst="rect"/>
                        <a:solidFill>
                          <a:srgbClr val="FFFFFF"/>
                        </a:solidFill>
                      </wps:spPr>
                      <wps:txbx>
                        <w:txbxContent>
                          <w:p>
                            <w:pPr>
                              <w:pStyle w:val="FrameContents"/>
                              <w:spacing w:lineRule="auto" w:line="240"/>
                              <w:rPr/>
                            </w:pPr>
                            <w:r>
                              <w:rPr>
                                <w:rFonts w:cs="Calibri"/>
                                <w:sz w:val="24"/>
                                <w:szCs w:val="24"/>
                              </w:rPr>
                              <w:t>Trafford Council employs around 2300 non-school members of staff and a</w:t>
                            </w:r>
                            <w:r>
                              <w:rPr>
                                <w:rFonts w:cs="Calibri"/>
                                <w:sz w:val="24"/>
                                <w:szCs w:val="24"/>
                                <w:lang w:val="en"/>
                              </w:rPr>
                              <w:t>s one of the biggest employers in the borough,</w:t>
                            </w:r>
                            <w:r>
                              <w:rPr>
                                <w:rFonts w:cs="Calibri"/>
                                <w:sz w:val="24"/>
                                <w:szCs w:val="24"/>
                              </w:rPr>
                              <w:t xml:space="preserve"> we work hard to make Trafford Council an employer of choice. We care what you think and believe you are more than just a job role.  We have a great benefits’ package and a real focus on your health and wellbeing, as well as, extensive learning, succession and development opportunities.</w:t>
                            </w:r>
                          </w:p>
                          <w:p>
                            <w:pPr>
                              <w:pStyle w:val="FrameContents"/>
                              <w:spacing w:lineRule="auto" w:line="240"/>
                              <w:rPr/>
                            </w:pPr>
                            <w:r>
                              <w:rPr>
                                <w:rFonts w:cs="Calibri"/>
                                <w:sz w:val="24"/>
                                <w:szCs w:val="24"/>
                              </w:rPr>
                              <w:t xml:space="preserve">For us, it’s not just about </w:t>
                            </w:r>
                            <w:r>
                              <w:rPr>
                                <w:rFonts w:cs="Calibri"/>
                                <w:i/>
                                <w:sz w:val="24"/>
                                <w:szCs w:val="24"/>
                              </w:rPr>
                              <w:t>what</w:t>
                            </w:r>
                            <w:r>
                              <w:rPr>
                                <w:rFonts w:cs="Calibri"/>
                                <w:sz w:val="24"/>
                                <w:szCs w:val="24"/>
                              </w:rPr>
                              <w:t xml:space="preserve"> we achieve as an organisation, but </w:t>
                            </w:r>
                            <w:r>
                              <w:rPr>
                                <w:rFonts w:cs="Calibri"/>
                                <w:i/>
                                <w:sz w:val="24"/>
                                <w:szCs w:val="24"/>
                              </w:rPr>
                              <w:t>how</w:t>
                            </w:r>
                            <w:r>
                              <w:rPr>
                                <w:rFonts w:cs="Calibri"/>
                                <w:sz w:val="24"/>
                                <w:szCs w:val="24"/>
                              </w:rPr>
                              <w:t xml:space="preserve"> we do it. Therefore, all employees are expected to display our </w:t>
                            </w:r>
                            <w:r>
                              <w:rPr>
                                <w:rFonts w:cs="Calibri"/>
                                <w:b/>
                                <w:color w:val="FF671D"/>
                                <w:sz w:val="24"/>
                                <w:szCs w:val="24"/>
                              </w:rPr>
                              <w:t>EPIC</w:t>
                            </w:r>
                            <w:r>
                              <w:rPr>
                                <w:rFonts w:cs="Calibri"/>
                                <w:color w:val="FF671D"/>
                                <w:sz w:val="24"/>
                                <w:szCs w:val="24"/>
                              </w:rPr>
                              <w:t xml:space="preserve"> </w:t>
                            </w:r>
                            <w:r>
                              <w:rPr>
                                <w:rFonts w:cs="Calibri"/>
                                <w:sz w:val="24"/>
                                <w:szCs w:val="24"/>
                              </w:rPr>
                              <w:t xml:space="preserve">values. </w:t>
                            </w:r>
                          </w:p>
                          <w:p>
                            <w:pPr>
                              <w:pStyle w:val="FrameContents"/>
                              <w:spacing w:lineRule="auto" w:line="240"/>
                              <w:rPr>
                                <w:rFonts w:ascii="Arial" w:hAnsi="Arial" w:cs="Arial"/>
                              </w:rPr>
                            </w:pPr>
                            <w:r>
                              <w:rPr>
                                <w:rFonts w:cs="Arial" w:ascii="Arial" w:hAnsi="Arial"/>
                              </w:rPr>
                            </w:r>
                          </w:p>
                          <w:p>
                            <w:pPr>
                              <w:pStyle w:val="FrameContents"/>
                              <w:spacing w:lineRule="auto" w:line="240" w:before="0" w:after="200"/>
                              <w:rPr>
                                <w:rFonts w:ascii="Arial" w:hAnsi="Arial" w:cs="Arial"/>
                              </w:rPr>
                            </w:pPr>
                            <w:r>
                              <w:rPr>
                                <w:rFonts w:cs="Arial" w:ascii="Arial" w:hAnsi="Arial"/>
                              </w:rPr>
                            </w:r>
                          </w:p>
                        </w:txbxContent>
                      </wps:txbx>
                      <wps:bodyPr anchor="t" lIns="92075" tIns="46355" rIns="92075" bIns="46355">
                        <a:noAutofit/>
                      </wps:bodyPr>
                    </wps:wsp>
                  </a:graphicData>
                </a:graphic>
              </wp:anchor>
            </w:drawing>
          </mc:Choice>
          <mc:Fallback>
            <w:pict>
              <v:rect fillcolor="#FFFFFF" style="position:absolute;rotation:-0;width:374.5pt;height:163.25pt;mso-wrap-distance-left:0pt;mso-wrap-distance-right:0.5pt;mso-wrap-distance-top:5.7pt;mso-wrap-distance-bottom:5.7pt;margin-top:2.9pt;mso-position-vertical-relative:text;margin-left:354pt;mso-position-horizontal-relative:text">
                <v:textbox inset="0.100694444444444in,0.0506944444444444in,0.100694444444444in,0.0506944444444444in">
                  <w:txbxContent>
                    <w:p>
                      <w:pPr>
                        <w:pStyle w:val="FrameContents"/>
                        <w:spacing w:lineRule="auto" w:line="240"/>
                        <w:rPr/>
                      </w:pPr>
                      <w:r>
                        <w:rPr>
                          <w:rFonts w:cs="Calibri"/>
                          <w:sz w:val="24"/>
                          <w:szCs w:val="24"/>
                        </w:rPr>
                        <w:t>Trafford Council employs around 2300 non-school members of staff and a</w:t>
                      </w:r>
                      <w:r>
                        <w:rPr>
                          <w:rFonts w:cs="Calibri"/>
                          <w:sz w:val="24"/>
                          <w:szCs w:val="24"/>
                          <w:lang w:val="en"/>
                        </w:rPr>
                        <w:t>s one of the biggest employers in the borough,</w:t>
                      </w:r>
                      <w:r>
                        <w:rPr>
                          <w:rFonts w:cs="Calibri"/>
                          <w:sz w:val="24"/>
                          <w:szCs w:val="24"/>
                        </w:rPr>
                        <w:t xml:space="preserve"> we work hard to make Trafford Council an employer of choice. We care what you think and believe you are more than just a job role.  We have a great benefits’ package and a real focus on your health and wellbeing, as well as, extensive learning, succession and development opportunities.</w:t>
                      </w:r>
                    </w:p>
                    <w:p>
                      <w:pPr>
                        <w:pStyle w:val="FrameContents"/>
                        <w:spacing w:lineRule="auto" w:line="240"/>
                        <w:rPr/>
                      </w:pPr>
                      <w:r>
                        <w:rPr>
                          <w:rFonts w:cs="Calibri"/>
                          <w:sz w:val="24"/>
                          <w:szCs w:val="24"/>
                        </w:rPr>
                        <w:t xml:space="preserve">For us, it’s not just about </w:t>
                      </w:r>
                      <w:r>
                        <w:rPr>
                          <w:rFonts w:cs="Calibri"/>
                          <w:i/>
                          <w:sz w:val="24"/>
                          <w:szCs w:val="24"/>
                        </w:rPr>
                        <w:t>what</w:t>
                      </w:r>
                      <w:r>
                        <w:rPr>
                          <w:rFonts w:cs="Calibri"/>
                          <w:sz w:val="24"/>
                          <w:szCs w:val="24"/>
                        </w:rPr>
                        <w:t xml:space="preserve"> we achieve as an organisation, but </w:t>
                      </w:r>
                      <w:r>
                        <w:rPr>
                          <w:rFonts w:cs="Calibri"/>
                          <w:i/>
                          <w:sz w:val="24"/>
                          <w:szCs w:val="24"/>
                        </w:rPr>
                        <w:t>how</w:t>
                      </w:r>
                      <w:r>
                        <w:rPr>
                          <w:rFonts w:cs="Calibri"/>
                          <w:sz w:val="24"/>
                          <w:szCs w:val="24"/>
                        </w:rPr>
                        <w:t xml:space="preserve"> we do it. Therefore, all employees are expected to display our </w:t>
                      </w:r>
                      <w:r>
                        <w:rPr>
                          <w:rFonts w:cs="Calibri"/>
                          <w:b/>
                          <w:color w:val="FF671D"/>
                          <w:sz w:val="24"/>
                          <w:szCs w:val="24"/>
                        </w:rPr>
                        <w:t>EPIC</w:t>
                      </w:r>
                      <w:r>
                        <w:rPr>
                          <w:rFonts w:cs="Calibri"/>
                          <w:color w:val="FF671D"/>
                          <w:sz w:val="24"/>
                          <w:szCs w:val="24"/>
                        </w:rPr>
                        <w:t xml:space="preserve"> </w:t>
                      </w:r>
                      <w:r>
                        <w:rPr>
                          <w:rFonts w:cs="Calibri"/>
                          <w:sz w:val="24"/>
                          <w:szCs w:val="24"/>
                        </w:rPr>
                        <w:t xml:space="preserve">values. </w:t>
                      </w:r>
                    </w:p>
                    <w:p>
                      <w:pPr>
                        <w:pStyle w:val="FrameContents"/>
                        <w:spacing w:lineRule="auto" w:line="240"/>
                        <w:rPr>
                          <w:rFonts w:ascii="Arial" w:hAnsi="Arial" w:cs="Arial"/>
                        </w:rPr>
                      </w:pPr>
                      <w:r>
                        <w:rPr>
                          <w:rFonts w:cs="Arial" w:ascii="Arial" w:hAnsi="Arial"/>
                        </w:rPr>
                      </w:r>
                    </w:p>
                    <w:p>
                      <w:pPr>
                        <w:pStyle w:val="FrameContents"/>
                        <w:spacing w:lineRule="auto" w:line="240" w:before="0" w:after="200"/>
                        <w:rPr>
                          <w:rFonts w:ascii="Arial" w:hAnsi="Arial" w:cs="Arial"/>
                        </w:rPr>
                      </w:pPr>
                      <w:r>
                        <w:rPr>
                          <w:rFonts w:cs="Arial" w:ascii="Arial" w:hAnsi="Arial"/>
                        </w:rPr>
                      </w:r>
                    </w:p>
                  </w:txbxContent>
                </v:textbox>
                <w10:wrap type="none"/>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mc:AlternateContent>
          <mc:Choice Requires="wps">
            <w:drawing>
              <wp:anchor behindDoc="0" distT="0" distB="0" distL="114935" distR="114935" simplePos="0" locked="0" layoutInCell="1" allowOverlap="1" relativeHeight="10">
                <wp:simplePos x="0" y="0"/>
                <wp:positionH relativeFrom="column">
                  <wp:posOffset>4508500</wp:posOffset>
                </wp:positionH>
                <wp:positionV relativeFrom="paragraph">
                  <wp:posOffset>9525</wp:posOffset>
                </wp:positionV>
                <wp:extent cx="4787900" cy="3003550"/>
                <wp:effectExtent l="0" t="0" r="0" b="0"/>
                <wp:wrapNone/>
                <wp:docPr id="14" name=""/>
                <a:graphic xmlns:a="http://schemas.openxmlformats.org/drawingml/2006/main">
                  <a:graphicData uri="http://schemas.microsoft.com/office/word/2010/wordprocessingShape">
                    <wps:wsp>
                      <wps:cNvSpPr txBox="1"/>
                      <wps:spPr>
                        <a:xfrm>
                          <a:off x="0" y="0"/>
                          <a:ext cx="4788000" cy="3003480"/>
                        </a:xfrm>
                        <a:prstGeom prst="rect">
                          <a:avLst/>
                        </a:prstGeom>
                        <a:solidFill>
                          <a:srgbClr val="ffffff"/>
                        </a:solidFill>
                        <a:ln w="0">
                          <a:noFill/>
                        </a:ln>
                      </wps:spPr>
                      <wps:bodyPr/>
                    </wps:wsp>
                  </a:graphicData>
                </a:graphic>
              </wp:anchor>
            </w:drawing>
          </mc:Choice>
          <mc:Fallback>
            <w:pict>
              <v:shape id="shape_0" fillcolor="white" stroked="f" o:allowincell="f" style="position:absolute;margin-left:355pt;margin-top:0.75pt;width:376.95pt;height:236.45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black"/>
                <v:stroke color="#3465a4" joinstyle="round" endcap="flat"/>
                <w10:wrap type="none"/>
              </v:shape>
            </w:pict>
          </mc:Fallback>
        </mc:AlternateContent>
      </w:r>
      <w:r>
        <mc:AlternateContent>
          <mc:Choice Requires="wps">
            <w:drawing>
              <wp:anchor behindDoc="0" distT="72390" distB="72390" distL="0" distR="0" simplePos="0" locked="0" layoutInCell="1" allowOverlap="1" relativeHeight="18">
                <wp:simplePos x="0" y="0"/>
                <wp:positionH relativeFrom="column">
                  <wp:posOffset>4508500</wp:posOffset>
                </wp:positionH>
                <wp:positionV relativeFrom="paragraph">
                  <wp:posOffset>9525</wp:posOffset>
                </wp:positionV>
                <wp:extent cx="4787900" cy="3003550"/>
                <wp:effectExtent l="0" t="0" r="0" b="0"/>
                <wp:wrapNone/>
                <wp:docPr id="15" name="Frame6"/>
                <a:graphic xmlns:a="http://schemas.openxmlformats.org/drawingml/2006/main">
                  <a:graphicData uri="http://schemas.microsoft.com/office/word/2010/wordprocessingShape">
                    <wps:wsp>
                      <wps:cNvSpPr txBox="1"/>
                      <wps:spPr>
                        <a:xfrm>
                          <a:off x="0" y="0"/>
                          <a:ext cx="4787900" cy="3003550"/>
                        </a:xfrm>
                        <a:prstGeom prst="rect"/>
                        <a:solidFill>
                          <a:srgbClr val="FFFFFF"/>
                        </a:solidFill>
                      </wps:spPr>
                      <wps:txbx>
                        <w:txbxContent>
                          <w:p>
                            <w:pPr>
                              <w:pStyle w:val="FrameContents"/>
                              <w:spacing w:lineRule="auto" w:line="240" w:before="0" w:after="120"/>
                              <w:rPr/>
                            </w:pPr>
                            <w:r>
                              <w:rPr>
                                <w:rFonts w:cs="Calibri"/>
                                <w:b/>
                                <w:sz w:val="24"/>
                              </w:rPr>
                              <w:t xml:space="preserve">At Trafford Council we are </w:t>
                            </w:r>
                            <w:r>
                              <w:rPr>
                                <w:rFonts w:cs="Calibri"/>
                                <w:b/>
                                <w:color w:val="FF671D"/>
                                <w:sz w:val="24"/>
                              </w:rPr>
                              <w:t>EPIC</w:t>
                            </w:r>
                          </w:p>
                          <w:p>
                            <w:pPr>
                              <w:pStyle w:val="FrameContents"/>
                              <w:spacing w:lineRule="auto" w:line="240" w:before="0" w:after="120"/>
                              <w:rPr/>
                            </w:pPr>
                            <w:r>
                              <w:rPr>
                                <w:rFonts w:cs="Calibri"/>
                                <w:b/>
                                <w:sz w:val="24"/>
                              </w:rPr>
                              <w:t xml:space="preserve">We </w:t>
                            </w:r>
                            <w:r>
                              <w:rPr>
                                <w:rFonts w:cs="Calibri"/>
                                <w:b/>
                                <w:color w:val="FF671D"/>
                                <w:sz w:val="32"/>
                              </w:rPr>
                              <w:t>E</w:t>
                            </w:r>
                            <w:r>
                              <w:rPr>
                                <w:rFonts w:cs="Calibri"/>
                                <w:b/>
                                <w:sz w:val="24"/>
                              </w:rPr>
                              <w:t xml:space="preserve">MPOWER – </w:t>
                            </w:r>
                            <w:r>
                              <w:rPr>
                                <w:rFonts w:cs="Calibri"/>
                                <w:sz w:val="24"/>
                                <w:szCs w:val="24"/>
                              </w:rPr>
                              <w:t>We inspire and trust our people to deliver the best outcomes for our customers, communities and colleagues.</w:t>
                            </w:r>
                          </w:p>
                          <w:p>
                            <w:pPr>
                              <w:pStyle w:val="FrameContents"/>
                              <w:spacing w:lineRule="auto" w:line="240" w:before="0" w:after="120"/>
                              <w:rPr/>
                            </w:pPr>
                            <w:r>
                              <w:rPr>
                                <w:rFonts w:cs="Calibri"/>
                                <w:b/>
                                <w:sz w:val="24"/>
                              </w:rPr>
                              <w:t xml:space="preserve">We are </w:t>
                            </w:r>
                            <w:r>
                              <w:rPr>
                                <w:rFonts w:cs="Calibri"/>
                                <w:b/>
                                <w:color w:val="FF671D"/>
                                <w:sz w:val="32"/>
                              </w:rPr>
                              <w:t>P</w:t>
                            </w:r>
                            <w:r>
                              <w:rPr>
                                <w:rFonts w:cs="Calibri"/>
                                <w:b/>
                                <w:sz w:val="24"/>
                              </w:rPr>
                              <w:t xml:space="preserve">EOPLE CENTRED </w:t>
                            </w:r>
                            <w:r>
                              <w:rPr>
                                <w:rFonts w:cs="Calibri"/>
                                <w:b/>
                                <w:sz w:val="24"/>
                                <w:szCs w:val="24"/>
                              </w:rPr>
                              <w:t xml:space="preserve">– </w:t>
                            </w:r>
                            <w:r>
                              <w:rPr>
                                <w:rFonts w:cs="Calibri"/>
                                <w:sz w:val="24"/>
                                <w:szCs w:val="24"/>
                              </w:rPr>
                              <w:t>We value all people, within and external to the organisation and give those around us respect. We will act with honesty and integrity in all that we do, and create an environment that enables everyone we work with to thrive and succeed.</w:t>
                            </w:r>
                          </w:p>
                          <w:p>
                            <w:pPr>
                              <w:pStyle w:val="FrameContents"/>
                              <w:spacing w:lineRule="auto" w:line="240" w:before="0" w:after="120"/>
                              <w:rPr/>
                            </w:pPr>
                            <w:r>
                              <w:rPr>
                                <w:rFonts w:cs="Calibri"/>
                                <w:b/>
                                <w:sz w:val="24"/>
                              </w:rPr>
                              <w:t xml:space="preserve">We are </w:t>
                            </w:r>
                            <w:r>
                              <w:rPr>
                                <w:rFonts w:cs="Calibri"/>
                                <w:b/>
                                <w:color w:val="FF671D"/>
                                <w:sz w:val="32"/>
                              </w:rPr>
                              <w:t>I</w:t>
                            </w:r>
                            <w:r>
                              <w:rPr>
                                <w:rFonts w:cs="Calibri"/>
                                <w:b/>
                                <w:sz w:val="24"/>
                              </w:rPr>
                              <w:t xml:space="preserve">NCLUSIVE – </w:t>
                            </w:r>
                            <w:r>
                              <w:rPr>
                                <w:rFonts w:cs="Calibri"/>
                                <w:sz w:val="24"/>
                                <w:szCs w:val="24"/>
                              </w:rPr>
                              <w:t>We are committed to creating an environment that values and respects the diversity and richness differences bring.</w:t>
                            </w:r>
                          </w:p>
                          <w:p>
                            <w:pPr>
                              <w:pStyle w:val="FrameContents"/>
                              <w:spacing w:lineRule="auto" w:line="240" w:before="0" w:after="120"/>
                              <w:rPr/>
                            </w:pPr>
                            <w:r>
                              <w:rPr>
                                <w:rFonts w:cs="Calibri"/>
                                <w:b/>
                                <w:sz w:val="24"/>
                              </w:rPr>
                              <w:t xml:space="preserve">We </w:t>
                            </w:r>
                            <w:r>
                              <w:rPr>
                                <w:rFonts w:cs="Calibri"/>
                                <w:b/>
                                <w:color w:val="FF671D"/>
                                <w:sz w:val="32"/>
                              </w:rPr>
                              <w:t>C</w:t>
                            </w:r>
                            <w:r>
                              <w:rPr>
                                <w:rFonts w:cs="Calibri"/>
                                <w:b/>
                                <w:sz w:val="24"/>
                              </w:rPr>
                              <w:t xml:space="preserve">OLLABORATE </w:t>
                            </w:r>
                            <w:r>
                              <w:rPr>
                                <w:rFonts w:cs="Calibri"/>
                                <w:b/>
                                <w:sz w:val="24"/>
                                <w:szCs w:val="24"/>
                              </w:rPr>
                              <w:t xml:space="preserve">– </w:t>
                            </w:r>
                            <w:r>
                              <w:rPr>
                                <w:rFonts w:cs="Calibri"/>
                                <w:sz w:val="24"/>
                                <w:szCs w:val="24"/>
                              </w:rPr>
                              <w:t>We build relationships, collaborate; treat people as equal partners and work together to make things happen.</w:t>
                            </w:r>
                          </w:p>
                        </w:txbxContent>
                      </wps:txbx>
                      <wps:bodyPr anchor="t" lIns="92075" tIns="46355" rIns="92075" bIns="46355">
                        <a:noAutofit/>
                      </wps:bodyPr>
                    </wps:wsp>
                  </a:graphicData>
                </a:graphic>
              </wp:anchor>
            </w:drawing>
          </mc:Choice>
          <mc:Fallback>
            <w:pict>
              <v:rect fillcolor="#FFFFFF" style="position:absolute;rotation:-0;width:377pt;height:236.5pt;mso-wrap-distance-left:0pt;mso-wrap-distance-right:0pt;mso-wrap-distance-top:5.7pt;mso-wrap-distance-bottom:5.7pt;margin-top:0.75pt;mso-position-vertical-relative:text;margin-left:355pt;mso-position-horizontal-relative:text">
                <v:textbox inset="0.100694444444444in,0.0506944444444444in,0.100694444444444in,0.0506944444444444in">
                  <w:txbxContent>
                    <w:p>
                      <w:pPr>
                        <w:pStyle w:val="FrameContents"/>
                        <w:spacing w:lineRule="auto" w:line="240" w:before="0" w:after="120"/>
                        <w:rPr/>
                      </w:pPr>
                      <w:r>
                        <w:rPr>
                          <w:rFonts w:cs="Calibri"/>
                          <w:b/>
                          <w:sz w:val="24"/>
                        </w:rPr>
                        <w:t xml:space="preserve">At Trafford Council we are </w:t>
                      </w:r>
                      <w:r>
                        <w:rPr>
                          <w:rFonts w:cs="Calibri"/>
                          <w:b/>
                          <w:color w:val="FF671D"/>
                          <w:sz w:val="24"/>
                        </w:rPr>
                        <w:t>EPIC</w:t>
                      </w:r>
                    </w:p>
                    <w:p>
                      <w:pPr>
                        <w:pStyle w:val="FrameContents"/>
                        <w:spacing w:lineRule="auto" w:line="240" w:before="0" w:after="120"/>
                        <w:rPr/>
                      </w:pPr>
                      <w:r>
                        <w:rPr>
                          <w:rFonts w:cs="Calibri"/>
                          <w:b/>
                          <w:sz w:val="24"/>
                        </w:rPr>
                        <w:t xml:space="preserve">We </w:t>
                      </w:r>
                      <w:r>
                        <w:rPr>
                          <w:rFonts w:cs="Calibri"/>
                          <w:b/>
                          <w:color w:val="FF671D"/>
                          <w:sz w:val="32"/>
                        </w:rPr>
                        <w:t>E</w:t>
                      </w:r>
                      <w:r>
                        <w:rPr>
                          <w:rFonts w:cs="Calibri"/>
                          <w:b/>
                          <w:sz w:val="24"/>
                        </w:rPr>
                        <w:t xml:space="preserve">MPOWER – </w:t>
                      </w:r>
                      <w:r>
                        <w:rPr>
                          <w:rFonts w:cs="Calibri"/>
                          <w:sz w:val="24"/>
                          <w:szCs w:val="24"/>
                        </w:rPr>
                        <w:t>We inspire and trust our people to deliver the best outcomes for our customers, communities and colleagues.</w:t>
                      </w:r>
                    </w:p>
                    <w:p>
                      <w:pPr>
                        <w:pStyle w:val="FrameContents"/>
                        <w:spacing w:lineRule="auto" w:line="240" w:before="0" w:after="120"/>
                        <w:rPr/>
                      </w:pPr>
                      <w:r>
                        <w:rPr>
                          <w:rFonts w:cs="Calibri"/>
                          <w:b/>
                          <w:sz w:val="24"/>
                        </w:rPr>
                        <w:t xml:space="preserve">We are </w:t>
                      </w:r>
                      <w:r>
                        <w:rPr>
                          <w:rFonts w:cs="Calibri"/>
                          <w:b/>
                          <w:color w:val="FF671D"/>
                          <w:sz w:val="32"/>
                        </w:rPr>
                        <w:t>P</w:t>
                      </w:r>
                      <w:r>
                        <w:rPr>
                          <w:rFonts w:cs="Calibri"/>
                          <w:b/>
                          <w:sz w:val="24"/>
                        </w:rPr>
                        <w:t xml:space="preserve">EOPLE CENTRED </w:t>
                      </w:r>
                      <w:r>
                        <w:rPr>
                          <w:rFonts w:cs="Calibri"/>
                          <w:b/>
                          <w:sz w:val="24"/>
                          <w:szCs w:val="24"/>
                        </w:rPr>
                        <w:t xml:space="preserve">– </w:t>
                      </w:r>
                      <w:r>
                        <w:rPr>
                          <w:rFonts w:cs="Calibri"/>
                          <w:sz w:val="24"/>
                          <w:szCs w:val="24"/>
                        </w:rPr>
                        <w:t>We value all people, within and external to the organisation and give those around us respect. We will act with honesty and integrity in all that we do, and create an environment that enables everyone we work with to thrive and succeed.</w:t>
                      </w:r>
                    </w:p>
                    <w:p>
                      <w:pPr>
                        <w:pStyle w:val="FrameContents"/>
                        <w:spacing w:lineRule="auto" w:line="240" w:before="0" w:after="120"/>
                        <w:rPr/>
                      </w:pPr>
                      <w:r>
                        <w:rPr>
                          <w:rFonts w:cs="Calibri"/>
                          <w:b/>
                          <w:sz w:val="24"/>
                        </w:rPr>
                        <w:t xml:space="preserve">We are </w:t>
                      </w:r>
                      <w:r>
                        <w:rPr>
                          <w:rFonts w:cs="Calibri"/>
                          <w:b/>
                          <w:color w:val="FF671D"/>
                          <w:sz w:val="32"/>
                        </w:rPr>
                        <w:t>I</w:t>
                      </w:r>
                      <w:r>
                        <w:rPr>
                          <w:rFonts w:cs="Calibri"/>
                          <w:b/>
                          <w:sz w:val="24"/>
                        </w:rPr>
                        <w:t xml:space="preserve">NCLUSIVE – </w:t>
                      </w:r>
                      <w:r>
                        <w:rPr>
                          <w:rFonts w:cs="Calibri"/>
                          <w:sz w:val="24"/>
                          <w:szCs w:val="24"/>
                        </w:rPr>
                        <w:t>We are committed to creating an environment that values and respects the diversity and richness differences bring.</w:t>
                      </w:r>
                    </w:p>
                    <w:p>
                      <w:pPr>
                        <w:pStyle w:val="FrameContents"/>
                        <w:spacing w:lineRule="auto" w:line="240" w:before="0" w:after="120"/>
                        <w:rPr/>
                      </w:pPr>
                      <w:r>
                        <w:rPr>
                          <w:rFonts w:cs="Calibri"/>
                          <w:b/>
                          <w:sz w:val="24"/>
                        </w:rPr>
                        <w:t xml:space="preserve">We </w:t>
                      </w:r>
                      <w:r>
                        <w:rPr>
                          <w:rFonts w:cs="Calibri"/>
                          <w:b/>
                          <w:color w:val="FF671D"/>
                          <w:sz w:val="32"/>
                        </w:rPr>
                        <w:t>C</w:t>
                      </w:r>
                      <w:r>
                        <w:rPr>
                          <w:rFonts w:cs="Calibri"/>
                          <w:b/>
                          <w:sz w:val="24"/>
                        </w:rPr>
                        <w:t xml:space="preserve">OLLABORATE </w:t>
                      </w:r>
                      <w:r>
                        <w:rPr>
                          <w:rFonts w:cs="Calibri"/>
                          <w:b/>
                          <w:sz w:val="24"/>
                          <w:szCs w:val="24"/>
                        </w:rPr>
                        <w:t xml:space="preserve">– </w:t>
                      </w:r>
                      <w:r>
                        <w:rPr>
                          <w:rFonts w:cs="Calibri"/>
                          <w:sz w:val="24"/>
                          <w:szCs w:val="24"/>
                        </w:rPr>
                        <w:t>We build relationships, collaborate; treat people as equal partners and work together to make things happen.</w:t>
                      </w:r>
                    </w:p>
                  </w:txbxContent>
                </v:textbox>
                <w10:wrap type="none"/>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mc:AlternateContent>
          <mc:Choice Requires="wps">
            <w:drawing>
              <wp:anchor behindDoc="0" distT="0" distB="0" distL="114935" distR="114935" simplePos="0" locked="0" layoutInCell="0" allowOverlap="1" relativeHeight="11">
                <wp:simplePos x="0" y="0"/>
                <wp:positionH relativeFrom="margin">
                  <wp:align>center</wp:align>
                </wp:positionH>
                <wp:positionV relativeFrom="paragraph">
                  <wp:posOffset>-165735</wp:posOffset>
                </wp:positionV>
                <wp:extent cx="9601200" cy="361950"/>
                <wp:effectExtent l="12700" t="12700" r="12700" b="12700"/>
                <wp:wrapNone/>
                <wp:docPr id="16" name=""/>
                <a:graphic xmlns:a="http://schemas.openxmlformats.org/drawingml/2006/main">
                  <a:graphicData uri="http://schemas.microsoft.com/office/word/2010/wordprocessingShape">
                    <wps:wsp>
                      <wps:cNvSpPr txBox="1"/>
                      <wps:spPr>
                        <a:xfrm>
                          <a:off x="0" y="0"/>
                          <a:ext cx="9601200" cy="361800"/>
                        </a:xfrm>
                        <a:prstGeom prst="rect">
                          <a:avLst/>
                        </a:prstGeom>
                        <a:solidFill>
                          <a:srgbClr val="b72621"/>
                        </a:solidFill>
                        <a:ln w="25560">
                          <a:solidFill>
                            <a:srgbClr val="b72621"/>
                          </a:solidFill>
                          <a:round/>
                        </a:ln>
                      </wps:spPr>
                      <wps:bodyPr/>
                    </wps:wsp>
                  </a:graphicData>
                </a:graphic>
              </wp:anchor>
            </w:drawing>
          </mc:Choice>
          <mc:Fallback>
            <w:pict>
              <v:shape id="shape_0" fillcolor="#b72621" stroked="t" o:allowincell="f" style="position:absolute;margin-left:-29.05pt;margin-top:-13.05pt;width:755.95pt;height:28.45pt;mso-wrap-style:none;v-text-anchor:middle;mso-position-horizontal:center;mso-position-horizontal-relative:margin"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48d9de"/>
                <v:stroke color="#b72621" weight="25560" joinstyle="round" endcap="flat"/>
                <w10:wrap type="none"/>
              </v:shape>
            </w:pict>
          </mc:Fallback>
        </mc:AlternateContent>
      </w:r>
      <w:r>
        <mc:AlternateContent>
          <mc:Choice Requires="wps">
            <w:drawing>
              <wp:anchor behindDoc="0" distT="72390" distB="72390" distL="0" distR="19050" simplePos="0" locked="0" layoutInCell="0" allowOverlap="1" relativeHeight="19">
                <wp:simplePos x="0" y="0"/>
                <wp:positionH relativeFrom="margin">
                  <wp:align>center</wp:align>
                </wp:positionH>
                <wp:positionV relativeFrom="paragraph">
                  <wp:posOffset>-165735</wp:posOffset>
                </wp:positionV>
                <wp:extent cx="9601200" cy="361950"/>
                <wp:effectExtent l="0" t="0" r="0" b="0"/>
                <wp:wrapNone/>
                <wp:docPr id="17" name="Frame7"/>
                <a:graphic xmlns:a="http://schemas.openxmlformats.org/drawingml/2006/main">
                  <a:graphicData uri="http://schemas.microsoft.com/office/word/2010/wordprocessingShape">
                    <wps:wsp>
                      <wps:cNvSpPr txBox="1"/>
                      <wps:spPr>
                        <a:xfrm>
                          <a:off x="0" y="0"/>
                          <a:ext cx="9601200" cy="361950"/>
                        </a:xfrm>
                        <a:prstGeom prst="rect"/>
                        <a:solidFill>
                          <a:srgbClr val="FFFFFF"/>
                        </a:solidFill>
                      </wps:spPr>
                      <wps:txbx>
                        <w:txbxContent>
                          <w:p>
                            <w:pPr>
                              <w:pStyle w:val="FrameContents"/>
                              <w:shd w:fill="B72621" w:val="clear"/>
                              <w:spacing w:before="0" w:after="200"/>
                              <w:rPr>
                                <w:rFonts w:cs="Calibri"/>
                                <w:b/>
                                <w:color w:val="FFFFFF"/>
                                <w:sz w:val="28"/>
                                <w:szCs w:val="24"/>
                              </w:rPr>
                            </w:pPr>
                            <w:r>
                              <w:rPr>
                                <w:rFonts w:cs="Calibri"/>
                                <w:b/>
                                <w:color w:val="FFFFFF"/>
                                <w:sz w:val="28"/>
                                <w:szCs w:val="24"/>
                              </w:rPr>
                              <w:t>About the Role</w:t>
                            </w:r>
                          </w:p>
                        </w:txbxContent>
                      </wps:txbx>
                      <wps:bodyPr anchor="t" lIns="92075" tIns="46355" rIns="92075" bIns="46355">
                        <a:noAutofit/>
                      </wps:bodyPr>
                    </wps:wsp>
                  </a:graphicData>
                </a:graphic>
              </wp:anchor>
            </w:drawing>
          </mc:Choice>
          <mc:Fallback>
            <w:pict>
              <v:rect fillcolor="#FFFFFF" style="position:absolute;rotation:-0;width:756pt;height:28.5pt;mso-wrap-distance-left:0pt;mso-wrap-distance-right:1.5pt;mso-wrap-distance-top:5.7pt;mso-wrap-distance-bottom:5.7pt;margin-top:-13.05pt;mso-position-vertical-relative:text;margin-left:-29.05pt;mso-position-horizontal:center;mso-position-horizontal-relative:margin">
                <v:textbox inset="0.100694444444444in,0.0506944444444444in,0.100694444444444in,0.0506944444444444in">
                  <w:txbxContent>
                    <w:p>
                      <w:pPr>
                        <w:pStyle w:val="FrameContents"/>
                        <w:shd w:fill="B72621" w:val="clear"/>
                        <w:spacing w:before="0" w:after="200"/>
                        <w:rPr>
                          <w:rFonts w:cs="Calibri"/>
                          <w:b/>
                          <w:color w:val="FFFFFF"/>
                          <w:sz w:val="28"/>
                          <w:szCs w:val="24"/>
                        </w:rPr>
                      </w:pPr>
                      <w:r>
                        <w:rPr>
                          <w:rFonts w:cs="Calibri"/>
                          <w:b/>
                          <w:color w:val="FFFFFF"/>
                          <w:sz w:val="28"/>
                          <w:szCs w:val="24"/>
                        </w:rPr>
                        <w:t>About the Role</w:t>
                      </w:r>
                    </w:p>
                  </w:txbxContent>
                </v:textbox>
                <w10:wrap type="none"/>
              </v:rect>
            </w:pict>
          </mc:Fallback>
        </mc:AlternateContent>
      </w:r>
    </w:p>
    <w:tbl>
      <w:tblPr>
        <w:tblW w:w="15026" w:type="dxa"/>
        <w:jc w:val="left"/>
        <w:tblInd w:w="-464" w:type="dxa"/>
        <w:tblLayout w:type="fixed"/>
        <w:tblCellMar>
          <w:top w:w="0" w:type="dxa"/>
          <w:left w:w="108" w:type="dxa"/>
          <w:bottom w:w="0" w:type="dxa"/>
          <w:right w:w="108" w:type="dxa"/>
        </w:tblCellMar>
      </w:tblPr>
      <w:tblGrid>
        <w:gridCol w:w="15026"/>
      </w:tblGrid>
      <w:tr>
        <w:trPr/>
        <w:tc>
          <w:tcPr>
            <w:tcW w:w="15026"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200"/>
              <w:jc w:val="both"/>
              <w:rPr>
                <w:rFonts w:cs="Calibri"/>
                <w:sz w:val="24"/>
              </w:rPr>
            </w:pPr>
            <w:r>
              <w:rPr>
                <w:rFonts w:cs="Calibri"/>
                <w:sz w:val="24"/>
              </w:rPr>
              <w:t>This Role Profile outlines the key tasks you will be expected to perform to give you an understanding of a typical day and the key activities that you will be expected to deliver or contribute to the delivery of.</w:t>
            </w:r>
          </w:p>
          <w:p>
            <w:pPr>
              <w:pStyle w:val="Normal"/>
              <w:spacing w:lineRule="auto" w:line="276" w:before="0" w:after="200"/>
              <w:jc w:val="both"/>
              <w:rPr>
                <w:rFonts w:cs="Calibri"/>
                <w:sz w:val="24"/>
              </w:rPr>
            </w:pPr>
            <w:r>
              <w:rPr>
                <w:rFonts w:cs="Calibri"/>
                <w:sz w:val="24"/>
              </w:rPr>
              <w:t>The ‘About You’ section explores what qualifications, experience, skills and knowledge you will need for the role.</w:t>
            </w:r>
          </w:p>
          <w:p>
            <w:pPr>
              <w:pStyle w:val="Normal"/>
              <w:spacing w:lineRule="auto" w:line="276" w:before="0" w:after="200"/>
              <w:jc w:val="both"/>
              <w:rPr>
                <w:rFonts w:cs="Calibri"/>
                <w:sz w:val="24"/>
              </w:rPr>
            </w:pPr>
            <w:r>
              <w:rPr>
                <w:rFonts w:cs="Calibri"/>
                <w:sz w:val="24"/>
              </w:rPr>
              <w:t>We are a values-based organisation and you will need to reflect our values, as well as the requirements in ‘About You’ in your application.</w:t>
            </w:r>
          </w:p>
        </w:tc>
      </w:tr>
      <w:tr>
        <w:trPr>
          <w:trHeight w:val="983" w:hRule="atLeast"/>
        </w:trPr>
        <w:tc>
          <w:tcPr>
            <w:tcW w:w="150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cs="Calibri"/>
                <w:sz w:val="24"/>
                <w:szCs w:val="24"/>
              </w:rPr>
            </w:pPr>
            <w:r>
              <w:rPr>
                <w:rFonts w:cs="Calibri"/>
                <w:sz w:val="24"/>
                <w:szCs w:val="24"/>
              </w:rPr>
            </w:r>
          </w:p>
          <w:p>
            <w:pPr>
              <w:pStyle w:val="Normal"/>
              <w:spacing w:lineRule="auto" w:line="240" w:before="0" w:after="0"/>
              <w:rPr>
                <w:b/>
                <w:bCs/>
                <w:sz w:val="24"/>
                <w:szCs w:val="24"/>
              </w:rPr>
            </w:pPr>
            <w:r>
              <w:rPr>
                <w:b/>
                <w:bCs/>
                <w:sz w:val="24"/>
                <w:szCs w:val="24"/>
              </w:rPr>
              <w:t>Overview</w:t>
            </w:r>
          </w:p>
          <w:p>
            <w:pPr>
              <w:pStyle w:val="Normal"/>
              <w:spacing w:lineRule="auto" w:line="240" w:before="0" w:after="0"/>
              <w:rPr/>
            </w:pPr>
            <w:r>
              <w:rPr/>
            </w:r>
          </w:p>
          <w:p>
            <w:pPr>
              <w:pStyle w:val="Normal"/>
              <w:spacing w:lineRule="auto" w:line="240" w:before="0" w:after="0"/>
              <w:rPr/>
            </w:pPr>
            <w:r>
              <w:rPr/>
              <w:t>The Housing Options Service Trafford (HOST) sits within the Growth, Communities and Housing Service. The HOST function provides a responsive and effective service to homeless residents of Trafford.</w:t>
            </w:r>
          </w:p>
          <w:p>
            <w:pPr>
              <w:pStyle w:val="ListParagraph"/>
              <w:spacing w:lineRule="auto" w:line="240" w:before="0" w:after="0"/>
              <w:contextualSpacing/>
              <w:rPr>
                <w:rFonts w:cs="Calibri"/>
                <w:sz w:val="24"/>
                <w:szCs w:val="24"/>
              </w:rPr>
            </w:pPr>
            <w:r>
              <w:rPr>
                <w:rFonts w:cs="Calibri"/>
                <w:sz w:val="24"/>
                <w:szCs w:val="24"/>
              </w:rPr>
            </w:r>
          </w:p>
          <w:p>
            <w:pPr>
              <w:pStyle w:val="Normal"/>
              <w:spacing w:lineRule="auto" w:line="240" w:before="0" w:after="0"/>
              <w:rPr>
                <w:rFonts w:cs="Calibri"/>
                <w:b/>
                <w:bCs/>
                <w:sz w:val="24"/>
                <w:szCs w:val="24"/>
              </w:rPr>
            </w:pPr>
            <w:r>
              <w:rPr>
                <w:rFonts w:cs="Calibri"/>
                <w:b/>
                <w:bCs/>
                <w:sz w:val="24"/>
                <w:szCs w:val="24"/>
              </w:rPr>
              <w:t>Your Main Priorities</w:t>
            </w:r>
          </w:p>
          <w:p>
            <w:pPr>
              <w:pStyle w:val="Normal"/>
              <w:spacing w:lineRule="auto" w:line="240" w:before="0" w:after="0"/>
              <w:rPr>
                <w:rFonts w:cs="Calibri"/>
                <w:sz w:val="24"/>
                <w:szCs w:val="24"/>
              </w:rPr>
            </w:pPr>
            <w:r>
              <w:rPr>
                <w:rFonts w:cs="Calibri"/>
                <w:sz w:val="24"/>
                <w:szCs w:val="24"/>
              </w:rPr>
            </w:r>
          </w:p>
          <w:p>
            <w:pPr>
              <w:pStyle w:val="ListParagraph"/>
              <w:numPr>
                <w:ilvl w:val="0"/>
                <w:numId w:val="3"/>
              </w:numPr>
              <w:spacing w:lineRule="auto" w:line="240" w:before="0" w:after="0"/>
              <w:contextualSpacing/>
              <w:rPr/>
            </w:pPr>
            <w:r>
              <w:rPr>
                <w:rFonts w:cs="Calibri"/>
                <w:sz w:val="24"/>
                <w:szCs w:val="24"/>
              </w:rPr>
              <w:t>Responsibility for securing emergency Temporary Accommodation via the Private Rented Sector, and ensuring all properties are used within the legislative duty.</w:t>
            </w:r>
          </w:p>
          <w:p>
            <w:pPr>
              <w:pStyle w:val="ListParagraph"/>
              <w:numPr>
                <w:ilvl w:val="0"/>
                <w:numId w:val="3"/>
              </w:numPr>
              <w:spacing w:lineRule="auto" w:line="240" w:before="0" w:after="0"/>
              <w:contextualSpacing/>
              <w:rPr/>
            </w:pPr>
            <w:r>
              <w:rPr>
                <w:rFonts w:cs="Calibri"/>
                <w:sz w:val="24"/>
                <w:szCs w:val="24"/>
              </w:rPr>
              <w:t>Supporting the delivery of new initiatives in the private rented sector, aimed at supporting customers to move on from emergency accommodation and ultimately reducing the demands on temporary accommodation.</w:t>
            </w:r>
          </w:p>
          <w:p>
            <w:pPr>
              <w:pStyle w:val="ListParagraph"/>
              <w:numPr>
                <w:ilvl w:val="0"/>
                <w:numId w:val="3"/>
              </w:numPr>
              <w:spacing w:lineRule="auto" w:line="240" w:before="0" w:after="0"/>
              <w:contextualSpacing/>
              <w:rPr/>
            </w:pPr>
            <w:r>
              <w:rPr>
                <w:rFonts w:cs="Calibri"/>
                <w:sz w:val="24"/>
                <w:szCs w:val="24"/>
              </w:rPr>
              <w:t>Delivering the Rental Bond Scheme, with a key focus on private sector engagement to maximise housing supply through various means, including bringing long-term empty homes back into use achievable through partnership working.</w:t>
            </w:r>
          </w:p>
          <w:p>
            <w:pPr>
              <w:pStyle w:val="ListParagraph"/>
              <w:numPr>
                <w:ilvl w:val="0"/>
                <w:numId w:val="3"/>
              </w:numPr>
              <w:spacing w:lineRule="auto" w:line="240" w:before="0" w:after="0"/>
              <w:contextualSpacing/>
              <w:rPr/>
            </w:pPr>
            <w:r>
              <w:rPr>
                <w:rFonts w:cs="Calibri"/>
                <w:sz w:val="24"/>
                <w:szCs w:val="24"/>
              </w:rPr>
              <w:t>Providing a highly visible service, engaging with vulnerable customers on a day-to-day basis to gain a deep understanding of their needs/priorities, and developing outcome-focused action plans that meet their aspirations.</w:t>
            </w:r>
          </w:p>
          <w:p>
            <w:pPr>
              <w:pStyle w:val="Normal"/>
              <w:spacing w:lineRule="auto" w:line="240" w:before="0" w:after="0"/>
              <w:rPr>
                <w:rFonts w:cs="Calibri"/>
              </w:rPr>
            </w:pPr>
            <w:r>
              <w:rPr>
                <w:rFonts w:cs="Calibri"/>
              </w:rPr>
            </w:r>
          </w:p>
          <w:p>
            <w:pPr>
              <w:pStyle w:val="Normal"/>
              <w:spacing w:lineRule="auto" w:line="240" w:before="0" w:after="0"/>
              <w:rPr>
                <w:rFonts w:cs="Calibri"/>
                <w:b/>
                <w:bCs/>
                <w:sz w:val="24"/>
                <w:szCs w:val="24"/>
              </w:rPr>
            </w:pPr>
            <w:r>
              <w:rPr>
                <w:rFonts w:cs="Calibri"/>
                <w:b/>
                <w:bCs/>
                <w:sz w:val="24"/>
                <w:szCs w:val="24"/>
              </w:rPr>
              <w:t>Key duties</w:t>
            </w:r>
          </w:p>
          <w:p>
            <w:pPr>
              <w:pStyle w:val="Normal"/>
              <w:spacing w:lineRule="auto" w:line="240" w:before="0" w:after="0"/>
              <w:rPr>
                <w:rFonts w:cs="Calibri"/>
              </w:rPr>
            </w:pPr>
            <w:r>
              <w:rPr>
                <w:rFonts w:cs="Calibri"/>
              </w:rPr>
            </w:r>
          </w:p>
          <w:p>
            <w:pPr>
              <w:pStyle w:val="ListParagraph"/>
              <w:numPr>
                <w:ilvl w:val="0"/>
                <w:numId w:val="3"/>
              </w:numPr>
              <w:spacing w:lineRule="auto" w:line="240" w:before="0" w:after="0"/>
              <w:contextualSpacing/>
              <w:rPr/>
            </w:pPr>
            <w:r>
              <w:rPr>
                <w:rFonts w:cs="Calibri"/>
                <w:sz w:val="24"/>
                <w:szCs w:val="24"/>
              </w:rPr>
              <w:t>Developing effective working relationships with colleagues, partners and key stakeholders to support the delivery of customer and neighbourhood focused services.</w:t>
            </w:r>
          </w:p>
          <w:p>
            <w:pPr>
              <w:pStyle w:val="ListParagraph"/>
              <w:numPr>
                <w:ilvl w:val="0"/>
                <w:numId w:val="3"/>
              </w:numPr>
              <w:spacing w:lineRule="auto" w:line="240" w:before="0" w:after="0"/>
              <w:contextualSpacing/>
              <w:rPr/>
            </w:pPr>
            <w:r>
              <w:rPr>
                <w:rFonts w:cs="Calibri"/>
                <w:sz w:val="24"/>
                <w:szCs w:val="24"/>
              </w:rPr>
              <w:t>Increasing the number of properties available in the private rented sector that can be used as temporary accommodation or move on from emergency accommodation by building relationships and negotiating with landlords.</w:t>
            </w:r>
          </w:p>
          <w:p>
            <w:pPr>
              <w:pStyle w:val="ListParagraph"/>
              <w:numPr>
                <w:ilvl w:val="0"/>
                <w:numId w:val="3"/>
              </w:numPr>
              <w:spacing w:lineRule="auto" w:line="240" w:before="0" w:after="0"/>
              <w:contextualSpacing/>
              <w:rPr/>
            </w:pPr>
            <w:r>
              <w:rPr>
                <w:rFonts w:cs="Calibri"/>
                <w:sz w:val="24"/>
                <w:szCs w:val="24"/>
              </w:rPr>
              <w:t>Investigate and monitor cases of anti-social behaviour, nuisance, harassment and all tenancy breaches.</w:t>
            </w:r>
          </w:p>
          <w:p>
            <w:pPr>
              <w:pStyle w:val="ListParagraph"/>
              <w:numPr>
                <w:ilvl w:val="0"/>
                <w:numId w:val="3"/>
              </w:numPr>
              <w:spacing w:lineRule="auto" w:line="240" w:before="0" w:after="0"/>
              <w:contextualSpacing/>
              <w:rPr/>
            </w:pPr>
            <w:r>
              <w:rPr>
                <w:rFonts w:cs="Calibri"/>
                <w:sz w:val="24"/>
                <w:szCs w:val="24"/>
              </w:rPr>
              <w:t>Identifying remedies for anti-social behaviour, including Restorative Justice, tenancy warnings, monitoring injunctions, complying with the Anti-Social Behaviour Act, etc.</w:t>
            </w:r>
          </w:p>
          <w:p>
            <w:pPr>
              <w:pStyle w:val="ListParagraph"/>
              <w:numPr>
                <w:ilvl w:val="0"/>
                <w:numId w:val="3"/>
              </w:numPr>
              <w:spacing w:lineRule="auto" w:line="240" w:before="0" w:after="0"/>
              <w:contextualSpacing/>
              <w:rPr/>
            </w:pPr>
            <w:r>
              <w:rPr>
                <w:rFonts w:cs="Calibri"/>
                <w:sz w:val="24"/>
                <w:szCs w:val="24"/>
              </w:rPr>
              <w:t>Liaising with relevant teams to ensure that all paperwork and documentation, including witness statements, are available for court and other hearings.</w:t>
            </w:r>
          </w:p>
          <w:p>
            <w:pPr>
              <w:pStyle w:val="ListParagraph"/>
              <w:numPr>
                <w:ilvl w:val="0"/>
                <w:numId w:val="3"/>
              </w:numPr>
              <w:spacing w:lineRule="auto" w:line="240" w:before="0" w:after="0"/>
              <w:contextualSpacing/>
              <w:rPr/>
            </w:pPr>
            <w:r>
              <w:rPr>
                <w:rFonts w:cs="Calibri"/>
                <w:sz w:val="24"/>
                <w:szCs w:val="24"/>
              </w:rPr>
              <w:t>Attending liaison meetings with registered providers, landlords, Youth Offending Teams, Probation, Police, and other external stakeholders.</w:t>
            </w:r>
          </w:p>
          <w:p>
            <w:pPr>
              <w:pStyle w:val="ListParagraph"/>
              <w:numPr>
                <w:ilvl w:val="0"/>
                <w:numId w:val="3"/>
              </w:numPr>
              <w:spacing w:lineRule="auto" w:line="240" w:before="0" w:after="0"/>
              <w:contextualSpacing/>
              <w:rPr/>
            </w:pPr>
            <w:r>
              <w:rPr>
                <w:rFonts w:cs="Calibri"/>
                <w:sz w:val="24"/>
                <w:szCs w:val="24"/>
              </w:rPr>
              <w:t>Allocating emergency properties to those referred by Housing Options Officers as in urgent need of housing.</w:t>
            </w:r>
          </w:p>
          <w:p>
            <w:pPr>
              <w:pStyle w:val="ListParagraph"/>
              <w:numPr>
                <w:ilvl w:val="0"/>
                <w:numId w:val="3"/>
              </w:numPr>
              <w:spacing w:lineRule="auto" w:line="240" w:before="0" w:after="0"/>
              <w:contextualSpacing/>
              <w:rPr/>
            </w:pPr>
            <w:r>
              <w:rPr>
                <w:rFonts w:cs="Calibri"/>
                <w:sz w:val="24"/>
                <w:szCs w:val="24"/>
              </w:rPr>
              <w:t>Carrying out affordability assessments and all pre-tenancy work, and carrying out property viewings with prospective tenants and agree tenancy sign-ups.</w:t>
            </w:r>
          </w:p>
          <w:p>
            <w:pPr>
              <w:pStyle w:val="ListParagraph"/>
              <w:numPr>
                <w:ilvl w:val="0"/>
                <w:numId w:val="3"/>
              </w:numPr>
              <w:spacing w:lineRule="auto" w:line="240" w:before="0" w:after="0"/>
              <w:contextualSpacing/>
              <w:rPr/>
            </w:pPr>
            <w:r>
              <w:rPr>
                <w:rFonts w:cs="Calibri"/>
                <w:sz w:val="24"/>
                <w:szCs w:val="24"/>
              </w:rPr>
              <w:t>Ensuring sound void property management so that properties are not left empty for too long and are kept in good condition.</w:t>
            </w:r>
          </w:p>
          <w:p>
            <w:pPr>
              <w:pStyle w:val="ListParagraph"/>
              <w:numPr>
                <w:ilvl w:val="0"/>
                <w:numId w:val="3"/>
              </w:numPr>
              <w:spacing w:lineRule="auto" w:line="240" w:before="0" w:after="0"/>
              <w:contextualSpacing/>
              <w:rPr/>
            </w:pPr>
            <w:r>
              <w:rPr>
                <w:rFonts w:cs="Calibri"/>
                <w:sz w:val="24"/>
                <w:szCs w:val="24"/>
              </w:rPr>
              <w:t>Working collaboratively with the Temporary Accommodation Manager and the Council’s Housing Standards, Strategy and Revenue and Benefits Teams.</w:t>
            </w:r>
          </w:p>
          <w:p>
            <w:pPr>
              <w:pStyle w:val="ListParagraph"/>
              <w:numPr>
                <w:ilvl w:val="0"/>
                <w:numId w:val="3"/>
              </w:numPr>
              <w:spacing w:lineRule="auto" w:line="240" w:before="0" w:after="0"/>
              <w:contextualSpacing/>
              <w:rPr/>
            </w:pPr>
            <w:r>
              <w:rPr>
                <w:rFonts w:cs="Calibri"/>
                <w:sz w:val="24"/>
                <w:szCs w:val="24"/>
              </w:rPr>
              <w:t>Proactively seek to capture and respond to customer feedback and profiling information through a range of methods.</w:t>
            </w:r>
          </w:p>
          <w:p>
            <w:pPr>
              <w:pStyle w:val="ListParagraph"/>
              <w:numPr>
                <w:ilvl w:val="0"/>
                <w:numId w:val="3"/>
              </w:numPr>
              <w:spacing w:lineRule="auto" w:line="240" w:before="0" w:after="0"/>
              <w:contextualSpacing/>
              <w:rPr/>
            </w:pPr>
            <w:r>
              <w:rPr>
                <w:rFonts w:cs="Calibri"/>
                <w:sz w:val="24"/>
                <w:szCs w:val="24"/>
              </w:rPr>
              <w:t>Promoting a safeguarding culture and the welfare of children and vulnerable adults, and supporting designated safeguarding leads to achieve excellence in safeguarding.</w:t>
            </w:r>
          </w:p>
          <w:p>
            <w:pPr>
              <w:pStyle w:val="ListParagraph"/>
              <w:numPr>
                <w:ilvl w:val="0"/>
                <w:numId w:val="3"/>
              </w:numPr>
              <w:spacing w:lineRule="auto" w:line="240" w:before="0" w:after="0"/>
              <w:contextualSpacing/>
              <w:rPr/>
            </w:pPr>
            <w:r>
              <w:rPr>
                <w:rFonts w:cs="Calibri"/>
                <w:sz w:val="24"/>
                <w:szCs w:val="24"/>
              </w:rPr>
              <w:t>Building and maintaining a full knowledge of support services available for customers.</w:t>
            </w:r>
          </w:p>
          <w:p>
            <w:pPr>
              <w:pStyle w:val="ListParagraph"/>
              <w:numPr>
                <w:ilvl w:val="0"/>
                <w:numId w:val="3"/>
              </w:numPr>
              <w:spacing w:lineRule="auto" w:line="240" w:before="0" w:after="0"/>
              <w:contextualSpacing/>
              <w:rPr/>
            </w:pPr>
            <w:r>
              <w:rPr>
                <w:rFonts w:cs="Calibri"/>
                <w:sz w:val="24"/>
                <w:szCs w:val="24"/>
              </w:rPr>
              <w:t>Undertaking other duties appropriate to the post as may be reasonably required by the Council as Employer in compliance with the Contract of Employment.</w:t>
            </w:r>
          </w:p>
          <w:p>
            <w:pPr>
              <w:pStyle w:val="ListParagraph"/>
              <w:spacing w:lineRule="auto" w:line="240" w:before="0" w:after="0"/>
              <w:contextualSpacing/>
              <w:rPr>
                <w:rFonts w:cs="Calibri"/>
              </w:rPr>
            </w:pPr>
            <w:r>
              <w:rPr>
                <w:rFonts w:cs="Calibri"/>
              </w:rPr>
            </w:r>
          </w:p>
        </w:tc>
      </w:tr>
    </w:tbl>
    <w:p>
      <w:pPr>
        <w:pStyle w:val="Normal"/>
        <w:rPr>
          <w:sz w:val="24"/>
          <w:u w:val="single"/>
        </w:rPr>
      </w:pPr>
      <w:r>
        <w:rPr>
          <w:sz w:val="24"/>
          <w:u w:val="single"/>
        </w:rPr>
        <mc:AlternateContent>
          <mc:Choice Requires="wps">
            <w:drawing>
              <wp:anchor behindDoc="0" distT="0" distB="0" distL="114935" distR="114935" simplePos="0" locked="0" layoutInCell="1" allowOverlap="1" relativeHeight="5">
                <wp:simplePos x="0" y="0"/>
                <wp:positionH relativeFrom="column">
                  <wp:posOffset>-381000</wp:posOffset>
                </wp:positionH>
                <wp:positionV relativeFrom="paragraph">
                  <wp:posOffset>182880</wp:posOffset>
                </wp:positionV>
                <wp:extent cx="9588500" cy="361315"/>
                <wp:effectExtent l="12700" t="12700" r="12700" b="12700"/>
                <wp:wrapNone/>
                <wp:docPr id="18" name=""/>
                <a:graphic xmlns:a="http://schemas.openxmlformats.org/drawingml/2006/main">
                  <a:graphicData uri="http://schemas.microsoft.com/office/word/2010/wordprocessingShape">
                    <wps:wsp>
                      <wps:cNvSpPr txBox="1"/>
                      <wps:spPr>
                        <a:xfrm>
                          <a:off x="0" y="0"/>
                          <a:ext cx="9588600" cy="36144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o:allowincell="f" style="position:absolute;margin-left:-30pt;margin-top:14.4pt;width:754.95pt;height:28.4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ff774d"/>
                <v:stroke color="#0088b2" weight="25560" joinstyle="round" endcap="flat"/>
                <w10:wrap type="none"/>
              </v:shape>
            </w:pict>
          </mc:Fallback>
        </mc:AlternateContent>
      </w:r>
      <w:r>
        <mc:AlternateContent>
          <mc:Choice Requires="wps">
            <w:drawing>
              <wp:anchor behindDoc="0" distT="72390" distB="72390" distL="0" distR="12700" simplePos="0" locked="0" layoutInCell="1" allowOverlap="1" relativeHeight="20">
                <wp:simplePos x="0" y="0"/>
                <wp:positionH relativeFrom="column">
                  <wp:posOffset>-381000</wp:posOffset>
                </wp:positionH>
                <wp:positionV relativeFrom="paragraph">
                  <wp:posOffset>182880</wp:posOffset>
                </wp:positionV>
                <wp:extent cx="9588500" cy="361315"/>
                <wp:effectExtent l="0" t="0" r="0" b="0"/>
                <wp:wrapNone/>
                <wp:docPr id="19" name="Frame8"/>
                <a:graphic xmlns:a="http://schemas.openxmlformats.org/drawingml/2006/main">
                  <a:graphicData uri="http://schemas.microsoft.com/office/word/2010/wordprocessingShape">
                    <wps:wsp>
                      <wps:cNvSpPr txBox="1"/>
                      <wps:spPr>
                        <a:xfrm>
                          <a:off x="0" y="0"/>
                          <a:ext cx="9588500" cy="361315"/>
                        </a:xfrm>
                        <a:prstGeom prst="rect"/>
                        <a:solidFill>
                          <a:srgbClr val="FFFFFF"/>
                        </a:solidFill>
                      </wps:spPr>
                      <wps:txbx>
                        <w:txbxContent>
                          <w:p>
                            <w:pPr>
                              <w:pStyle w:val="FrameContents"/>
                              <w:spacing w:before="0" w:after="200"/>
                              <w:rPr>
                                <w:rFonts w:cs="Calibri"/>
                                <w:b/>
                                <w:color w:val="FFFFFF"/>
                                <w:sz w:val="28"/>
                                <w:szCs w:val="24"/>
                              </w:rPr>
                            </w:pPr>
                            <w:r>
                              <w:rPr>
                                <w:rFonts w:cs="Calibri"/>
                                <w:b/>
                                <w:color w:val="FFFFFF"/>
                                <w:sz w:val="28"/>
                                <w:szCs w:val="24"/>
                              </w:rPr>
                              <w:t>About You</w:t>
                            </w:r>
                          </w:p>
                        </w:txbxContent>
                      </wps:txbx>
                      <wps:bodyPr anchor="t" lIns="92075" tIns="46355" rIns="92075" bIns="46355">
                        <a:noAutofit/>
                      </wps:bodyPr>
                    </wps:wsp>
                  </a:graphicData>
                </a:graphic>
              </wp:anchor>
            </w:drawing>
          </mc:Choice>
          <mc:Fallback>
            <w:pict>
              <v:rect fillcolor="#FFFFFF" style="position:absolute;rotation:-0;width:755pt;height:28.45pt;mso-wrap-distance-left:0pt;mso-wrap-distance-right:1pt;mso-wrap-distance-top:5.7pt;mso-wrap-distance-bottom:5.7pt;margin-top:14.4pt;mso-position-vertical-relative:text;margin-left:-30pt;mso-position-horizontal-relative:text">
                <v:textbox inset="0.100694444444444in,0.0506944444444444in,0.100694444444444in,0.0506944444444444in">
                  <w:txbxContent>
                    <w:p>
                      <w:pPr>
                        <w:pStyle w:val="FrameContents"/>
                        <w:spacing w:before="0" w:after="200"/>
                        <w:rPr>
                          <w:rFonts w:cs="Calibri"/>
                          <w:b/>
                          <w:color w:val="FFFFFF"/>
                          <w:sz w:val="28"/>
                          <w:szCs w:val="24"/>
                        </w:rPr>
                      </w:pPr>
                      <w:r>
                        <w:rPr>
                          <w:rFonts w:cs="Calibri"/>
                          <w:b/>
                          <w:color w:val="FFFFFF"/>
                          <w:sz w:val="28"/>
                          <w:szCs w:val="24"/>
                        </w:rPr>
                        <w:t>About You</w:t>
                      </w:r>
                    </w:p>
                  </w:txbxContent>
                </v:textbox>
                <w10:wrap type="none"/>
              </v:rect>
            </w:pict>
          </mc:Fallback>
        </mc:AlternateContent>
      </w:r>
    </w:p>
    <w:p>
      <w:pPr>
        <w:pStyle w:val="Normal"/>
        <w:rPr>
          <w:sz w:val="24"/>
          <w:u w:val="single"/>
        </w:rPr>
      </w:pPr>
      <w:r>
        <w:rPr>
          <w:sz w:val="24"/>
          <w:u w:val="single"/>
        </w:rPr>
      </w:r>
    </w:p>
    <w:tbl>
      <w:tblPr>
        <w:tblW w:w="15026" w:type="dxa"/>
        <w:jc w:val="left"/>
        <w:tblInd w:w="-464" w:type="dxa"/>
        <w:tblLayout w:type="fixed"/>
        <w:tblCellMar>
          <w:top w:w="0" w:type="dxa"/>
          <w:left w:w="108" w:type="dxa"/>
          <w:bottom w:w="0" w:type="dxa"/>
          <w:right w:w="108" w:type="dxa"/>
        </w:tblCellMar>
      </w:tblPr>
      <w:tblGrid>
        <w:gridCol w:w="15026"/>
      </w:tblGrid>
      <w:tr>
        <w:trPr/>
        <w:tc>
          <w:tcPr>
            <w:tcW w:w="15026" w:type="dxa"/>
            <w:tcBorders>
              <w:top w:val="single" w:sz="4" w:space="0" w:color="000000"/>
              <w:left w:val="single" w:sz="4" w:space="0" w:color="000000"/>
              <w:bottom w:val="single" w:sz="4" w:space="0" w:color="000000"/>
              <w:right w:val="single" w:sz="4" w:space="0" w:color="000000"/>
            </w:tcBorders>
          </w:tcPr>
          <w:p>
            <w:pPr>
              <w:pStyle w:val="NormalWeb"/>
              <w:spacing w:lineRule="auto" w:line="240" w:before="0" w:after="0"/>
              <w:rPr>
                <w:rFonts w:ascii="Calibri" w:hAnsi="Calibri" w:cs="Calibri"/>
                <w:b/>
              </w:rPr>
            </w:pPr>
            <w:r>
              <w:rPr>
                <w:rFonts w:cs="Calibri" w:ascii="Calibri" w:hAnsi="Calibri"/>
                <w:b/>
              </w:rPr>
              <w:t>Qualifications and Professional Development</w:t>
            </w:r>
          </w:p>
          <w:p>
            <w:pPr>
              <w:pStyle w:val="NormalWeb"/>
              <w:spacing w:lineRule="auto" w:line="240" w:before="0" w:after="0"/>
              <w:rPr>
                <w:rFonts w:ascii="Calibri" w:hAnsi="Calibri" w:cs="Calibri"/>
                <w:b/>
              </w:rPr>
            </w:pPr>
            <w:r>
              <w:rPr>
                <w:rFonts w:cs="Calibri" w:ascii="Calibri" w:hAnsi="Calibri"/>
                <w:b/>
              </w:rPr>
            </w:r>
          </w:p>
          <w:p>
            <w:pPr>
              <w:pStyle w:val="NormalWeb"/>
              <w:numPr>
                <w:ilvl w:val="0"/>
                <w:numId w:val="2"/>
              </w:numPr>
              <w:spacing w:lineRule="auto" w:line="240" w:before="0" w:after="0"/>
              <w:rPr/>
            </w:pPr>
            <w:r>
              <w:rPr>
                <w:rStyle w:val="cf01"/>
                <w:rFonts w:cs="Calibri" w:ascii="Calibri" w:hAnsi="Calibri"/>
                <w:sz w:val="24"/>
                <w:szCs w:val="24"/>
              </w:rPr>
              <w:t>Recognised Level 5 qualification, degree, NVQ or equivalent level professional qualification</w:t>
            </w:r>
          </w:p>
          <w:p>
            <w:pPr>
              <w:pStyle w:val="NormalWeb"/>
              <w:numPr>
                <w:ilvl w:val="0"/>
                <w:numId w:val="2"/>
              </w:numPr>
              <w:spacing w:lineRule="auto" w:line="240" w:before="0" w:after="0"/>
              <w:rPr/>
            </w:pPr>
            <w:r>
              <w:rPr>
                <w:rFonts w:cs="Calibri" w:ascii="Calibri" w:hAnsi="Calibri"/>
                <w:bCs/>
              </w:rPr>
              <w:t>Evidence of continuous personal and professional development</w:t>
            </w:r>
          </w:p>
          <w:p>
            <w:pPr>
              <w:pStyle w:val="NormalWeb"/>
              <w:spacing w:lineRule="auto" w:line="240" w:before="0" w:after="0"/>
              <w:rPr>
                <w:rFonts w:ascii="Calibri" w:hAnsi="Calibri" w:cs="Calibri"/>
                <w:b/>
              </w:rPr>
            </w:pPr>
            <w:r>
              <w:rPr>
                <w:rFonts w:cs="Calibri" w:ascii="Calibri" w:hAnsi="Calibri"/>
                <w:b/>
              </w:rPr>
            </w:r>
          </w:p>
          <w:p>
            <w:pPr>
              <w:pStyle w:val="NormalWeb"/>
              <w:spacing w:lineRule="auto" w:line="240" w:before="0" w:after="0"/>
              <w:rPr>
                <w:rFonts w:ascii="Calibri" w:hAnsi="Calibri" w:cs="Calibri"/>
                <w:b/>
              </w:rPr>
            </w:pPr>
            <w:r>
              <w:rPr>
                <w:rFonts w:cs="Calibri" w:ascii="Calibri" w:hAnsi="Calibri"/>
                <w:b/>
              </w:rPr>
              <w:t>Experience and Knowledge</w:t>
            </w:r>
          </w:p>
          <w:p>
            <w:pPr>
              <w:pStyle w:val="NormalWeb"/>
              <w:spacing w:lineRule="auto" w:line="240" w:before="0" w:after="0"/>
              <w:rPr>
                <w:rFonts w:ascii="Calibri" w:hAnsi="Calibri" w:cs="Calibri"/>
                <w:b/>
              </w:rPr>
            </w:pPr>
            <w:r>
              <w:rPr>
                <w:rFonts w:cs="Calibri" w:ascii="Calibri" w:hAnsi="Calibri"/>
                <w:b/>
              </w:rPr>
            </w:r>
          </w:p>
          <w:p>
            <w:pPr>
              <w:pStyle w:val="Default"/>
              <w:numPr>
                <w:ilvl w:val="0"/>
                <w:numId w:val="2"/>
              </w:numPr>
              <w:spacing w:lineRule="auto" w:line="240" w:before="0" w:after="0"/>
              <w:rPr/>
            </w:pPr>
            <w:r>
              <w:rPr>
                <w:rFonts w:cs="Calibri" w:ascii="Calibri" w:hAnsi="Calibri"/>
              </w:rPr>
              <w:t>Proven experience of working in a housing, tenancy management or neighbourhood management role</w:t>
            </w:r>
          </w:p>
          <w:p>
            <w:pPr>
              <w:pStyle w:val="Default"/>
              <w:numPr>
                <w:ilvl w:val="0"/>
                <w:numId w:val="2"/>
              </w:numPr>
              <w:spacing w:lineRule="auto" w:line="240" w:before="0" w:after="0"/>
              <w:rPr/>
            </w:pPr>
            <w:r>
              <w:rPr>
                <w:rFonts w:cs="Calibri" w:ascii="Calibri" w:hAnsi="Calibri"/>
              </w:rPr>
              <w:t>Experience of letting properties, void management and the allocations processes through choice-based lettings</w:t>
            </w:r>
          </w:p>
          <w:p>
            <w:pPr>
              <w:pStyle w:val="Default"/>
              <w:numPr>
                <w:ilvl w:val="0"/>
                <w:numId w:val="2"/>
              </w:numPr>
              <w:spacing w:lineRule="auto" w:line="240" w:before="0" w:after="0"/>
              <w:rPr/>
            </w:pPr>
            <w:r>
              <w:rPr>
                <w:rFonts w:cs="Calibri" w:ascii="Calibri" w:hAnsi="Calibri"/>
              </w:rPr>
              <w:t>Experience of using a range of tools and powers relating to Anti-Social Behaviour, tenancy and estate management</w:t>
            </w:r>
          </w:p>
          <w:p>
            <w:pPr>
              <w:pStyle w:val="ListParagraph"/>
              <w:numPr>
                <w:ilvl w:val="0"/>
                <w:numId w:val="2"/>
              </w:numPr>
              <w:spacing w:lineRule="auto" w:line="240" w:before="0" w:after="0"/>
              <w:contextualSpacing/>
              <w:rPr/>
            </w:pPr>
            <w:r>
              <w:rPr>
                <w:rFonts w:cs="Calibri"/>
                <w:sz w:val="24"/>
                <w:szCs w:val="24"/>
              </w:rPr>
              <w:t>Previous experience in dealing with vulnerable customers (including victims and children), who may display challenging and disagreeable behaviour, and successfully managing anti-social behaviour casework</w:t>
            </w:r>
          </w:p>
          <w:p>
            <w:pPr>
              <w:pStyle w:val="Default"/>
              <w:numPr>
                <w:ilvl w:val="0"/>
                <w:numId w:val="2"/>
              </w:numPr>
              <w:spacing w:lineRule="auto" w:line="240" w:before="0" w:after="0"/>
              <w:rPr/>
            </w:pPr>
            <w:r>
              <w:rPr>
                <w:rFonts w:cs="Calibri" w:ascii="Calibri" w:hAnsi="Calibri"/>
              </w:rPr>
              <w:t>Experience of creating effective working relationships and collaborating with partners and key stakeholders to deliver positive outcomes for customers and communities</w:t>
            </w:r>
          </w:p>
          <w:p>
            <w:pPr>
              <w:pStyle w:val="Default"/>
              <w:numPr>
                <w:ilvl w:val="0"/>
                <w:numId w:val="2"/>
              </w:numPr>
              <w:spacing w:lineRule="auto" w:line="240" w:before="0" w:after="0"/>
              <w:rPr/>
            </w:pPr>
            <w:r>
              <w:rPr>
                <w:rFonts w:cs="Calibri" w:ascii="Calibri" w:hAnsi="Calibri"/>
              </w:rPr>
              <w:t xml:space="preserve">Experience of working within a performance focused environment and have a proven track record of successfully meeting performance targets </w:t>
            </w:r>
          </w:p>
          <w:p>
            <w:pPr>
              <w:pStyle w:val="ListParagraph"/>
              <w:numPr>
                <w:ilvl w:val="0"/>
                <w:numId w:val="2"/>
              </w:numPr>
              <w:spacing w:lineRule="auto" w:line="240" w:before="0" w:after="0"/>
              <w:contextualSpacing/>
              <w:rPr/>
            </w:pPr>
            <w:r>
              <w:rPr>
                <w:rFonts w:cs="Calibri"/>
                <w:sz w:val="24"/>
                <w:szCs w:val="24"/>
              </w:rPr>
              <w:t>Extensive knowledge and experience of the Housing Act 1996 part 6 and part 7 and of the Homelessness Act 2002</w:t>
            </w:r>
          </w:p>
          <w:p>
            <w:pPr>
              <w:pStyle w:val="NormalWeb"/>
              <w:numPr>
                <w:ilvl w:val="0"/>
                <w:numId w:val="2"/>
              </w:numPr>
              <w:spacing w:lineRule="auto" w:line="240" w:before="0" w:after="0"/>
              <w:rPr/>
            </w:pPr>
            <w:r>
              <w:rPr>
                <w:rFonts w:cs="Calibri" w:ascii="Calibri" w:hAnsi="Calibri"/>
                <w:lang w:val="en"/>
              </w:rPr>
              <w:t xml:space="preserve">Knowledge </w:t>
            </w:r>
            <w:r>
              <w:rPr>
                <w:rFonts w:cs="Calibri" w:ascii="Calibri" w:hAnsi="Calibri"/>
              </w:rPr>
              <w:t>of:</w:t>
            </w:r>
          </w:p>
          <w:p>
            <w:pPr>
              <w:pStyle w:val="NormalWeb"/>
              <w:numPr>
                <w:ilvl w:val="1"/>
                <w:numId w:val="2"/>
              </w:numPr>
              <w:spacing w:lineRule="auto" w:line="240" w:before="0" w:after="0"/>
              <w:rPr/>
            </w:pPr>
            <w:r>
              <w:rPr>
                <w:rFonts w:cs="Calibri" w:ascii="Calibri" w:hAnsi="Calibri"/>
              </w:rPr>
              <w:t>Housing Act 1988</w:t>
            </w:r>
          </w:p>
          <w:p>
            <w:pPr>
              <w:pStyle w:val="NormalWeb"/>
              <w:numPr>
                <w:ilvl w:val="1"/>
                <w:numId w:val="2"/>
              </w:numPr>
              <w:spacing w:lineRule="auto" w:line="240" w:before="0" w:after="0"/>
              <w:rPr/>
            </w:pPr>
            <w:r>
              <w:rPr>
                <w:rFonts w:cs="Calibri" w:ascii="Calibri" w:hAnsi="Calibri"/>
              </w:rPr>
              <w:t>Homelessness Reduction Act 2017</w:t>
            </w:r>
          </w:p>
          <w:p>
            <w:pPr>
              <w:pStyle w:val="NormalWeb"/>
              <w:numPr>
                <w:ilvl w:val="1"/>
                <w:numId w:val="2"/>
              </w:numPr>
              <w:spacing w:lineRule="auto" w:line="240" w:before="0" w:after="0"/>
              <w:rPr/>
            </w:pPr>
            <w:r>
              <w:rPr>
                <w:rFonts w:cs="Calibri" w:ascii="Calibri" w:hAnsi="Calibri"/>
              </w:rPr>
              <w:t>Relevant legislation relating to Neighbourhood Management policies and procedure (Police and Crime Act, Environmental crime, Tenancy Management, Anti-Social Behaviour, hate crime, tenancy management, empty properties)</w:t>
            </w:r>
          </w:p>
          <w:p>
            <w:pPr>
              <w:pStyle w:val="NormalWeb"/>
              <w:numPr>
                <w:ilvl w:val="1"/>
                <w:numId w:val="2"/>
              </w:numPr>
              <w:spacing w:lineRule="auto" w:line="240" w:before="0" w:after="0"/>
              <w:rPr/>
            </w:pPr>
            <w:r>
              <w:rPr>
                <w:rFonts w:cs="Calibri" w:ascii="Calibri" w:hAnsi="Calibri"/>
              </w:rPr>
              <w:t>Data protection and GDPR responsibilities</w:t>
            </w:r>
          </w:p>
          <w:p>
            <w:pPr>
              <w:pStyle w:val="NormalWeb"/>
              <w:numPr>
                <w:ilvl w:val="1"/>
                <w:numId w:val="2"/>
              </w:numPr>
              <w:spacing w:lineRule="auto" w:line="240" w:before="0" w:after="0"/>
              <w:rPr/>
            </w:pPr>
            <w:r>
              <w:rPr>
                <w:rFonts w:cs="Calibri" w:ascii="Calibri" w:hAnsi="Calibri"/>
              </w:rPr>
              <w:t>Safeguarding procedures and responsibilities – promoting the welfare of children and vulnerable adults</w:t>
            </w:r>
          </w:p>
          <w:p>
            <w:pPr>
              <w:pStyle w:val="NormalWeb"/>
              <w:numPr>
                <w:ilvl w:val="1"/>
                <w:numId w:val="2"/>
              </w:numPr>
              <w:spacing w:lineRule="auto" w:line="240" w:before="0" w:after="0"/>
              <w:rPr/>
            </w:pPr>
            <w:r>
              <w:rPr>
                <w:rFonts w:cs="Calibri" w:ascii="Calibri" w:hAnsi="Calibri"/>
              </w:rPr>
              <w:t>Issues that affect vulnerable people and available solutions</w:t>
            </w:r>
            <w:r>
              <w:rPr>
                <w:rFonts w:cs="Calibri" w:ascii="Calibri" w:hAnsi="Calibri"/>
                <w:lang w:val="en"/>
              </w:rPr>
              <w:t xml:space="preserve"> </w:t>
            </w:r>
          </w:p>
          <w:p>
            <w:pPr>
              <w:pStyle w:val="ListParagraph"/>
              <w:numPr>
                <w:ilvl w:val="0"/>
                <w:numId w:val="2"/>
              </w:numPr>
              <w:spacing w:lineRule="auto" w:line="240" w:before="0" w:after="0"/>
              <w:contextualSpacing/>
              <w:rPr/>
            </w:pPr>
            <w:r>
              <w:rPr>
                <w:rFonts w:cs="Calibri"/>
                <w:sz w:val="24"/>
                <w:szCs w:val="24"/>
              </w:rPr>
              <w:t>Working knowledge and experience of using a range of IT software systems (e.g. Microsoft Office, Northgate, Locata) and bespoke housing management systems</w:t>
            </w:r>
          </w:p>
          <w:p>
            <w:pPr>
              <w:pStyle w:val="NormalWeb"/>
              <w:spacing w:lineRule="auto" w:line="240" w:before="0" w:after="0"/>
              <w:ind w:left="720" w:right="0"/>
              <w:rPr>
                <w:rFonts w:ascii="Calibri" w:hAnsi="Calibri" w:cs="Calibri"/>
                <w:lang w:val="en"/>
              </w:rPr>
            </w:pPr>
            <w:r>
              <w:rPr>
                <w:rFonts w:cs="Calibri" w:ascii="Calibri" w:hAnsi="Calibri"/>
                <w:lang w:val="en"/>
              </w:rPr>
            </w:r>
          </w:p>
          <w:p>
            <w:pPr>
              <w:pStyle w:val="NormalWeb"/>
              <w:spacing w:lineRule="auto" w:line="240" w:before="0" w:after="0"/>
              <w:rPr>
                <w:rFonts w:ascii="Calibri" w:hAnsi="Calibri" w:cs="Calibri"/>
                <w:b/>
              </w:rPr>
            </w:pPr>
            <w:r>
              <w:rPr>
                <w:rFonts w:cs="Calibri" w:ascii="Calibri" w:hAnsi="Calibri"/>
                <w:b/>
              </w:rPr>
              <w:t>Skills and abilities</w:t>
            </w:r>
          </w:p>
          <w:p>
            <w:pPr>
              <w:pStyle w:val="NormalWeb"/>
              <w:spacing w:lineRule="auto" w:line="240" w:before="0" w:after="0"/>
              <w:rPr>
                <w:rFonts w:ascii="Calibri" w:hAnsi="Calibri" w:cs="Calibri"/>
                <w:b/>
                <w:lang w:val="en"/>
              </w:rPr>
            </w:pPr>
            <w:r>
              <w:rPr>
                <w:rFonts w:cs="Calibri" w:ascii="Calibri" w:hAnsi="Calibri"/>
                <w:b/>
                <w:lang w:val="en"/>
              </w:rPr>
            </w:r>
          </w:p>
          <w:p>
            <w:pPr>
              <w:pStyle w:val="ListParagraph"/>
              <w:numPr>
                <w:ilvl w:val="0"/>
                <w:numId w:val="2"/>
              </w:numPr>
              <w:spacing w:lineRule="auto" w:line="240" w:before="0" w:after="0"/>
              <w:contextualSpacing/>
              <w:rPr/>
            </w:pPr>
            <w:r>
              <w:rPr>
                <w:rFonts w:cs="Calibri"/>
                <w:sz w:val="24"/>
                <w:szCs w:val="24"/>
              </w:rPr>
              <w:t>Excellent communication skills (verbal and written): using effective compliant management techniques</w:t>
            </w:r>
          </w:p>
          <w:p>
            <w:pPr>
              <w:pStyle w:val="ListParagraph"/>
              <w:numPr>
                <w:ilvl w:val="0"/>
                <w:numId w:val="2"/>
              </w:numPr>
              <w:spacing w:lineRule="auto" w:line="240" w:before="0" w:after="0"/>
              <w:contextualSpacing/>
              <w:rPr/>
            </w:pPr>
            <w:r>
              <w:rPr>
                <w:rFonts w:cs="Calibri"/>
                <w:sz w:val="24"/>
                <w:szCs w:val="24"/>
                <w:lang w:val="en"/>
              </w:rPr>
              <w:t>Excellent report writing and analytical skills: interpreting and absorbing complex data and to present information to support decision-making</w:t>
            </w:r>
          </w:p>
          <w:p>
            <w:pPr>
              <w:pStyle w:val="ListParagraph"/>
              <w:numPr>
                <w:ilvl w:val="0"/>
                <w:numId w:val="2"/>
              </w:numPr>
              <w:spacing w:lineRule="auto" w:line="240" w:before="0" w:after="0"/>
              <w:contextualSpacing/>
              <w:rPr/>
            </w:pPr>
            <w:r>
              <w:rPr>
                <w:rFonts w:cs="Calibri"/>
                <w:color w:val="000000"/>
                <w:sz w:val="24"/>
                <w:szCs w:val="24"/>
              </w:rPr>
              <w:t>Commitment to customer care and delivering an excellent front-line service</w:t>
            </w:r>
          </w:p>
          <w:p>
            <w:pPr>
              <w:pStyle w:val="ListParagraph"/>
              <w:numPr>
                <w:ilvl w:val="0"/>
                <w:numId w:val="2"/>
              </w:numPr>
              <w:spacing w:lineRule="auto" w:line="240" w:before="0" w:after="0"/>
              <w:contextualSpacing/>
              <w:rPr/>
            </w:pPr>
            <w:r>
              <w:rPr>
                <w:rFonts w:cs="Calibri"/>
                <w:color w:val="000000"/>
                <w:sz w:val="24"/>
                <w:szCs w:val="24"/>
              </w:rPr>
              <w:t xml:space="preserve">Ability to provide support and assistance to colleagues within the team through training, coaching and adopting good team ethics </w:t>
            </w:r>
          </w:p>
          <w:p>
            <w:pPr>
              <w:pStyle w:val="ListParagraph"/>
              <w:numPr>
                <w:ilvl w:val="0"/>
                <w:numId w:val="2"/>
              </w:numPr>
              <w:spacing w:lineRule="auto" w:line="240" w:before="0" w:after="0"/>
              <w:contextualSpacing/>
              <w:rPr/>
            </w:pPr>
            <w:r>
              <w:rPr>
                <w:rFonts w:cs="Calibri"/>
                <w:color w:val="000000"/>
                <w:sz w:val="24"/>
                <w:szCs w:val="24"/>
              </w:rPr>
              <w:t xml:space="preserve">Able to identify problems and create solutions to continually improve and develop customer service delivery </w:t>
            </w:r>
          </w:p>
          <w:p>
            <w:pPr>
              <w:pStyle w:val="Default"/>
              <w:numPr>
                <w:ilvl w:val="0"/>
                <w:numId w:val="2"/>
              </w:numPr>
              <w:spacing w:lineRule="auto" w:line="240" w:before="0" w:after="0"/>
              <w:rPr/>
            </w:pPr>
            <w:r>
              <w:rPr>
                <w:rFonts w:cs="Calibri" w:ascii="Calibri" w:hAnsi="Calibri"/>
              </w:rPr>
              <w:t>Able to work effectively as part of a team and independently</w:t>
            </w:r>
          </w:p>
          <w:p>
            <w:pPr>
              <w:pStyle w:val="Default"/>
              <w:numPr>
                <w:ilvl w:val="0"/>
                <w:numId w:val="2"/>
              </w:numPr>
              <w:spacing w:lineRule="auto" w:line="240" w:before="0" w:after="0"/>
              <w:rPr/>
            </w:pPr>
            <w:r>
              <w:rPr>
                <w:rFonts w:cs="Calibri" w:ascii="Calibri" w:hAnsi="Calibri"/>
              </w:rPr>
              <w:t>Adaptable and able to work flexibly to meet the competing/changing needs of the service</w:t>
            </w:r>
          </w:p>
          <w:p>
            <w:pPr>
              <w:pStyle w:val="ListParagraph"/>
              <w:numPr>
                <w:ilvl w:val="0"/>
                <w:numId w:val="2"/>
              </w:numPr>
              <w:spacing w:lineRule="auto" w:line="240" w:before="0" w:after="0"/>
              <w:contextualSpacing/>
              <w:rPr/>
            </w:pPr>
            <w:r>
              <w:rPr>
                <w:rFonts w:cs="Calibri"/>
                <w:sz w:val="24"/>
                <w:szCs w:val="24"/>
              </w:rPr>
              <w:t>Able to remain solution-focussed when handling challenging/urgent situations</w:t>
            </w:r>
          </w:p>
          <w:p>
            <w:pPr>
              <w:pStyle w:val="ListParagraph"/>
              <w:numPr>
                <w:ilvl w:val="0"/>
                <w:numId w:val="2"/>
              </w:numPr>
              <w:spacing w:lineRule="auto" w:line="240" w:before="0" w:after="0"/>
              <w:contextualSpacing/>
              <w:rPr/>
            </w:pPr>
            <w:r>
              <w:rPr>
                <w:rFonts w:cs="Calibri"/>
                <w:sz w:val="24"/>
                <w:szCs w:val="24"/>
              </w:rPr>
              <w:t>Planning and organisational skills: prioritising casework, managing a diverse workload, and producing a high standard of work within deadlines</w:t>
            </w:r>
          </w:p>
          <w:p>
            <w:pPr>
              <w:pStyle w:val="ListParagraph"/>
              <w:spacing w:lineRule="auto" w:line="240" w:before="0" w:after="0"/>
              <w:contextualSpacing/>
              <w:rPr>
                <w:rFonts w:cs="Calibri"/>
                <w:b/>
              </w:rPr>
            </w:pPr>
            <w:r>
              <w:rPr>
                <w:rFonts w:cs="Calibri"/>
                <w:b/>
              </w:rPr>
            </w:r>
          </w:p>
          <w:p>
            <w:pPr>
              <w:pStyle w:val="NormalWeb"/>
              <w:spacing w:lineRule="auto" w:line="240" w:before="0" w:after="0"/>
              <w:rPr>
                <w:rFonts w:ascii="Calibri" w:hAnsi="Calibri" w:cs="Calibri"/>
                <w:b/>
              </w:rPr>
            </w:pPr>
            <w:r>
              <w:rPr>
                <w:rFonts w:cs="Calibri" w:ascii="Calibri" w:hAnsi="Calibri"/>
                <w:b/>
              </w:rPr>
              <w:t>Special Conditions</w:t>
            </w:r>
          </w:p>
          <w:p>
            <w:pPr>
              <w:pStyle w:val="NormalWeb"/>
              <w:spacing w:lineRule="auto" w:line="240" w:before="0" w:after="0"/>
              <w:rPr>
                <w:rFonts w:ascii="Calibri" w:hAnsi="Calibri" w:cs="Calibri"/>
                <w:b/>
              </w:rPr>
            </w:pPr>
            <w:r>
              <w:rPr>
                <w:rFonts w:cs="Calibri" w:ascii="Calibri" w:hAnsi="Calibri"/>
                <w:b/>
              </w:rPr>
            </w:r>
          </w:p>
          <w:p>
            <w:pPr>
              <w:pStyle w:val="NormalWeb"/>
              <w:numPr>
                <w:ilvl w:val="0"/>
                <w:numId w:val="2"/>
              </w:numPr>
              <w:spacing w:lineRule="auto" w:line="240" w:before="0" w:after="0"/>
              <w:rPr/>
            </w:pPr>
            <w:r>
              <w:rPr>
                <w:rFonts w:cs="Calibri" w:ascii="Calibri" w:hAnsi="Calibri"/>
              </w:rPr>
              <w:t>Access to a car or ability to travel within the borough and GM using public transport</w:t>
            </w:r>
          </w:p>
          <w:p>
            <w:pPr>
              <w:pStyle w:val="NormalWeb"/>
              <w:spacing w:lineRule="auto" w:line="240" w:before="0" w:after="0"/>
              <w:rPr>
                <w:rFonts w:ascii="Calibri" w:hAnsi="Calibri" w:cs="Calibri"/>
                <w:lang w:val="en"/>
              </w:rPr>
            </w:pPr>
            <w:r>
              <w:rPr>
                <w:rFonts w:cs="Calibri" w:ascii="Calibri" w:hAnsi="Calibri"/>
                <w:lang w:val="en"/>
              </w:rPr>
            </w:r>
          </w:p>
        </w:tc>
      </w:tr>
    </w:tbl>
    <w:p>
      <w:pPr>
        <w:pStyle w:val="Normal"/>
        <w:rPr>
          <w:rFonts w:cs="Calibri"/>
          <w:u w:val="single"/>
        </w:rPr>
      </w:pPr>
      <w:r>
        <w:rPr>
          <w:rFonts w:cs="Calibri"/>
          <w:u w:val="single"/>
        </w:rPr>
      </w:r>
    </w:p>
    <w:tbl>
      <w:tblPr>
        <w:tblW w:w="9213" w:type="dxa"/>
        <w:jc w:val="left"/>
        <w:tblInd w:w="-464" w:type="dxa"/>
        <w:tblLayout w:type="fixed"/>
        <w:tblCellMar>
          <w:top w:w="0" w:type="dxa"/>
          <w:left w:w="108" w:type="dxa"/>
          <w:bottom w:w="0" w:type="dxa"/>
          <w:right w:w="108" w:type="dxa"/>
        </w:tblCellMar>
      </w:tblPr>
      <w:tblGrid>
        <w:gridCol w:w="2552"/>
        <w:gridCol w:w="6661"/>
      </w:tblGrid>
      <w:tr>
        <w:trPr/>
        <w:tc>
          <w:tcPr>
            <w:tcW w:w="25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Calibri"/>
              </w:rPr>
            </w:pPr>
            <w:r>
              <w:rPr>
                <w:rFonts w:cs="Calibri"/>
              </w:rPr>
              <w:t>Date prepared/revised</w:t>
            </w:r>
          </w:p>
          <w:p>
            <w:pPr>
              <w:pStyle w:val="Normal"/>
              <w:spacing w:lineRule="auto" w:line="240" w:before="0" w:after="0"/>
              <w:rPr>
                <w:rFonts w:cs="Calibri"/>
              </w:rPr>
            </w:pPr>
            <w:r>
              <w:rPr>
                <w:rFonts w:cs="Calibri"/>
              </w:rPr>
            </w:r>
          </w:p>
        </w:tc>
        <w:tc>
          <w:tcPr>
            <w:tcW w:w="66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Calibri"/>
              </w:rPr>
            </w:pPr>
            <w:r>
              <w:rPr>
                <w:rFonts w:cs="Calibri"/>
              </w:rPr>
              <w:t>2021 | Updated 20/03/2025</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Calibri"/>
              </w:rPr>
            </w:pPr>
            <w:r>
              <w:rPr>
                <w:rFonts w:cs="Calibri"/>
              </w:rPr>
              <w:t>Prepared/revised by</w:t>
            </w:r>
          </w:p>
          <w:p>
            <w:pPr>
              <w:pStyle w:val="Normal"/>
              <w:spacing w:lineRule="auto" w:line="240" w:before="0" w:after="0"/>
              <w:rPr>
                <w:rFonts w:cs="Calibri"/>
              </w:rPr>
            </w:pPr>
            <w:r>
              <w:rPr>
                <w:rFonts w:cs="Calibri"/>
              </w:rPr>
            </w:r>
          </w:p>
        </w:tc>
        <w:tc>
          <w:tcPr>
            <w:tcW w:w="66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Calibri"/>
              </w:rPr>
            </w:pPr>
            <w:r>
              <w:rPr>
                <w:rFonts w:cs="Calibri"/>
              </w:rPr>
              <w:t>C Siddall / R Miller / R Pollard</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Calibri"/>
              </w:rPr>
            </w:pPr>
            <w:r>
              <w:rPr>
                <w:rFonts w:cs="Calibri"/>
              </w:rPr>
              <w:t>Job Evaluation</w:t>
            </w:r>
          </w:p>
          <w:p>
            <w:pPr>
              <w:pStyle w:val="Normal"/>
              <w:spacing w:lineRule="auto" w:line="240" w:before="0" w:after="0"/>
              <w:rPr>
                <w:rFonts w:cs="Calibri"/>
              </w:rPr>
            </w:pPr>
            <w:r>
              <w:rPr>
                <w:rFonts w:cs="Calibri"/>
              </w:rPr>
            </w:r>
          </w:p>
        </w:tc>
        <w:tc>
          <w:tcPr>
            <w:tcW w:w="66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cs="Calibri"/>
              </w:rPr>
            </w:pPr>
            <w:r>
              <w:rPr>
                <w:rFonts w:cs="Calibri"/>
              </w:rPr>
              <w:t>Existing evaluation – reviewed MAR 2025</w:t>
            </w:r>
          </w:p>
        </w:tc>
      </w:tr>
    </w:tbl>
    <w:p>
      <w:pPr>
        <w:pStyle w:val="Normal"/>
        <w:rPr>
          <w:rFonts w:cs="Calibri"/>
          <w:u w:val="single"/>
        </w:rPr>
      </w:pPr>
      <w:r>
        <w:rPr>
          <w:rFonts w:cs="Calibri"/>
          <w:u w:val="single"/>
        </w:rPr>
      </w:r>
    </w:p>
    <w:p>
      <w:pPr>
        <w:pStyle w:val="Normal"/>
        <w:rPr>
          <w:rFonts w:ascii="Arial" w:hAnsi="Arial" w:eastAsia="Times New Roman" w:cs="Arial"/>
          <w:b/>
          <w:sz w:val="24"/>
          <w:szCs w:val="24"/>
          <w:u w:val="single"/>
        </w:rPr>
      </w:pPr>
      <w:r>
        <w:rPr>
          <w:rFonts w:eastAsia="Times New Roman" w:cs="Arial" w:ascii="Arial" w:hAnsi="Arial"/>
          <w:b/>
          <w:sz w:val="24"/>
          <w:szCs w:val="24"/>
          <w:u w:val="single"/>
        </w:rPr>
      </w:r>
      <w:r>
        <w:br w:type="page"/>
      </w:r>
    </w:p>
    <w:p>
      <w:pPr>
        <w:pStyle w:val="Normal"/>
        <w:spacing w:before="0" w:after="200"/>
        <w:rPr>
          <w:rFonts w:ascii="Arial" w:hAnsi="Arial" w:eastAsia="Times New Roman" w:cs="Arial"/>
          <w:b/>
          <w:sz w:val="24"/>
          <w:szCs w:val="24"/>
        </w:rPr>
      </w:pPr>
      <w:r>
        <w:rPr>
          <w:rFonts w:eastAsia="Times New Roman" w:cs="Arial" w:ascii="Arial" w:hAnsi="Arial"/>
          <w:b/>
          <w:sz w:val="24"/>
          <w:szCs w:val="24"/>
        </w:rPr>
        <mc:AlternateContent>
          <mc:Choice Requires="wps">
            <w:drawing>
              <wp:anchor behindDoc="0" distT="0" distB="0" distL="114935" distR="114935" simplePos="0" locked="0" layoutInCell="1" allowOverlap="1" relativeHeight="6">
                <wp:simplePos x="0" y="0"/>
                <wp:positionH relativeFrom="column">
                  <wp:posOffset>-12700</wp:posOffset>
                </wp:positionH>
                <wp:positionV relativeFrom="paragraph">
                  <wp:posOffset>-107950</wp:posOffset>
                </wp:positionV>
                <wp:extent cx="9087485" cy="6356350"/>
                <wp:effectExtent l="0" t="0" r="0" b="0"/>
                <wp:wrapNone/>
                <wp:docPr id="20" name=""/>
                <a:graphic xmlns:a="http://schemas.openxmlformats.org/drawingml/2006/main">
                  <a:graphicData uri="http://schemas.microsoft.com/office/word/2010/wordprocessingShape">
                    <wps:wsp>
                      <wps:cNvSpPr txBox="1"/>
                      <wps:spPr>
                        <a:xfrm>
                          <a:off x="0" y="0"/>
                          <a:ext cx="9087480" cy="6356520"/>
                        </a:xfrm>
                        <a:prstGeom prst="rect">
                          <a:avLst/>
                        </a:prstGeom>
                        <a:solidFill>
                          <a:srgbClr val="ffffff"/>
                        </a:solidFill>
                        <a:ln w="0">
                          <a:noFill/>
                        </a:ln>
                      </wps:spPr>
                      <wps:bodyPr/>
                    </wps:wsp>
                  </a:graphicData>
                </a:graphic>
              </wp:anchor>
            </w:drawing>
          </mc:Choice>
          <mc:Fallback>
            <w:pict>
              <v:shape id="shape_0" fillcolor="white" stroked="f" o:allowincell="f" style="position:absolute;margin-left:-1pt;margin-top:-8.5pt;width:715.5pt;height:500.45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black"/>
                <v:stroke color="#3465a4" joinstyle="round" endcap="flat"/>
                <w10:wrap type="none"/>
              </v:shape>
            </w:pict>
          </mc:Fallback>
        </mc:AlternateContent>
      </w:r>
      <w:r>
        <mc:AlternateContent>
          <mc:Choice Requires="wps">
            <w:drawing>
              <wp:anchor behindDoc="0" distT="72390" distB="72390" distL="0" distR="0" simplePos="0" locked="0" layoutInCell="1" allowOverlap="1" relativeHeight="21">
                <wp:simplePos x="0" y="0"/>
                <wp:positionH relativeFrom="column">
                  <wp:posOffset>-12700</wp:posOffset>
                </wp:positionH>
                <wp:positionV relativeFrom="paragraph">
                  <wp:posOffset>-107950</wp:posOffset>
                </wp:positionV>
                <wp:extent cx="9087485" cy="6356350"/>
                <wp:effectExtent l="0" t="0" r="0" b="0"/>
                <wp:wrapNone/>
                <wp:docPr id="21" name="Frame9"/>
                <a:graphic xmlns:a="http://schemas.openxmlformats.org/drawingml/2006/main">
                  <a:graphicData uri="http://schemas.microsoft.com/office/word/2010/wordprocessingShape">
                    <wps:wsp>
                      <wps:cNvSpPr txBox="1"/>
                      <wps:spPr>
                        <a:xfrm>
                          <a:off x="0" y="0"/>
                          <a:ext cx="9087485" cy="6356350"/>
                        </a:xfrm>
                        <a:prstGeom prst="rect"/>
                        <a:solidFill>
                          <a:srgbClr val="FFFFFF"/>
                        </a:solidFill>
                      </wps:spPr>
                      <wps:txbx>
                        <w:txbxContent>
                          <w:p>
                            <w:pPr>
                              <w:pStyle w:val="Heading1"/>
                              <w:ind w:hanging="0" w:left="0"/>
                              <w:rPr>
                                <w:rFonts w:ascii="Calibri" w:hAnsi="Calibri" w:cs="Calibri"/>
                                <w:szCs w:val="24"/>
                              </w:rPr>
                            </w:pPr>
                            <w:r>
                              <w:rPr>
                                <w:rFonts w:cs="Calibri" w:ascii="Calibri" w:hAnsi="Calibri"/>
                                <w:szCs w:val="24"/>
                              </w:rPr>
                              <w:t>Health and Safety</w:t>
                            </w:r>
                          </w:p>
                          <w:p>
                            <w:pPr>
                              <w:pStyle w:val="FrameContents"/>
                              <w:spacing w:lineRule="auto" w:line="240" w:before="0" w:after="0"/>
                              <w:jc w:val="center"/>
                              <w:rPr>
                                <w:rFonts w:cs="Calibri"/>
                                <w:sz w:val="24"/>
                                <w:szCs w:val="24"/>
                              </w:rPr>
                            </w:pPr>
                            <w:r>
                              <w:rPr>
                                <w:rFonts w:cs="Calibri"/>
                                <w:sz w:val="24"/>
                                <w:szCs w:val="24"/>
                              </w:rPr>
                              <w:t>To operate safely within the workplace with regard to the Council’s health and safety policies, procedures and safe working practices.  To be responsible for your own Health and Safety and that of other employees.</w:t>
                            </w:r>
                          </w:p>
                          <w:p>
                            <w:pPr>
                              <w:pStyle w:val="Heading1"/>
                              <w:ind w:hanging="0" w:left="0"/>
                              <w:rPr>
                                <w:rFonts w:ascii="Calibri" w:hAnsi="Calibri" w:cs="Calibri"/>
                                <w:szCs w:val="24"/>
                              </w:rPr>
                            </w:pPr>
                            <w:r>
                              <w:rPr>
                                <w:rFonts w:cs="Calibri" w:ascii="Calibri" w:hAnsi="Calibri"/>
                                <w:szCs w:val="24"/>
                              </w:rPr>
                            </w:r>
                          </w:p>
                          <w:p>
                            <w:pPr>
                              <w:pStyle w:val="Heading1"/>
                              <w:ind w:hanging="0" w:left="0"/>
                              <w:rPr>
                                <w:rFonts w:ascii="Calibri" w:hAnsi="Calibri" w:cs="Calibri"/>
                                <w:szCs w:val="24"/>
                              </w:rPr>
                            </w:pPr>
                            <w:r>
                              <w:rPr>
                                <w:rFonts w:cs="Calibri" w:ascii="Calibri" w:hAnsi="Calibri"/>
                                <w:szCs w:val="24"/>
                              </w:rPr>
                              <w:t>Equalities &amp; Diversity</w:t>
                            </w:r>
                          </w:p>
                          <w:p>
                            <w:pPr>
                              <w:pStyle w:val="DefaultText"/>
                              <w:widowControl/>
                              <w:jc w:val="center"/>
                              <w:rPr>
                                <w:rFonts w:ascii="Calibri" w:hAnsi="Calibri" w:cs="Calibri"/>
                                <w:szCs w:val="24"/>
                              </w:rPr>
                            </w:pPr>
                            <w:r>
                              <w:rPr>
                                <w:rFonts w:cs="Calibri" w:ascii="Calibri" w:hAnsi="Calibri"/>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pPr>
                              <w:pStyle w:val="DefaultText"/>
                              <w:widowControl/>
                              <w:jc w:val="center"/>
                              <w:rPr>
                                <w:rFonts w:ascii="Calibri" w:hAnsi="Calibri" w:cs="Calibri"/>
                                <w:szCs w:val="24"/>
                              </w:rPr>
                            </w:pPr>
                            <w:r>
                              <w:rPr>
                                <w:rFonts w:cs="Calibri" w:ascii="Calibri" w:hAnsi="Calibri"/>
                                <w:szCs w:val="24"/>
                              </w:rPr>
                            </w:r>
                          </w:p>
                          <w:p>
                            <w:pPr>
                              <w:pStyle w:val="Heading1"/>
                              <w:ind w:hanging="0" w:left="0"/>
                              <w:rPr>
                                <w:rFonts w:ascii="Calibri" w:hAnsi="Calibri" w:cs="Calibri"/>
                                <w:szCs w:val="24"/>
                              </w:rPr>
                            </w:pPr>
                            <w:r>
                              <w:rPr>
                                <w:rFonts w:cs="Calibri" w:ascii="Calibri" w:hAnsi="Calibri"/>
                                <w:szCs w:val="24"/>
                              </w:rPr>
                              <w:t>Customer Care</w:t>
                            </w:r>
                          </w:p>
                          <w:p>
                            <w:pPr>
                              <w:pStyle w:val="FrameContents"/>
                              <w:spacing w:lineRule="auto" w:line="240" w:before="0" w:after="0"/>
                              <w:jc w:val="center"/>
                              <w:rPr>
                                <w:rFonts w:cs="Calibri"/>
                                <w:sz w:val="24"/>
                                <w:szCs w:val="24"/>
                              </w:rPr>
                            </w:pPr>
                            <w:r>
                              <w:rPr>
                                <w:rFonts w:cs="Calibri"/>
                                <w:sz w:val="24"/>
                                <w:szCs w:val="24"/>
                              </w:rPr>
                              <w:t>To continually review, develop and improve systems, processes and services in support of the Council’s pursuit of excellence in service delivery. To recognise the value of its people as a resource.</w:t>
                            </w:r>
                          </w:p>
                          <w:p>
                            <w:pPr>
                              <w:pStyle w:val="Heading1"/>
                              <w:ind w:hanging="0" w:left="0"/>
                              <w:rPr>
                                <w:rFonts w:ascii="Calibri" w:hAnsi="Calibri" w:cs="Calibri"/>
                                <w:szCs w:val="24"/>
                              </w:rPr>
                            </w:pPr>
                            <w:r>
                              <w:rPr>
                                <w:rFonts w:cs="Calibri" w:ascii="Calibri" w:hAnsi="Calibri"/>
                                <w:szCs w:val="24"/>
                              </w:rPr>
                            </w:r>
                          </w:p>
                          <w:p>
                            <w:pPr>
                              <w:pStyle w:val="Heading1"/>
                              <w:ind w:hanging="0" w:left="0"/>
                              <w:rPr>
                                <w:rFonts w:ascii="Calibri" w:hAnsi="Calibri" w:cs="Calibri"/>
                                <w:szCs w:val="24"/>
                              </w:rPr>
                            </w:pPr>
                            <w:r>
                              <w:rPr>
                                <w:rFonts w:cs="Calibri" w:ascii="Calibri" w:hAnsi="Calibri"/>
                                <w:szCs w:val="24"/>
                              </w:rPr>
                              <w:t>Training and Development</w:t>
                            </w:r>
                          </w:p>
                          <w:p>
                            <w:pPr>
                              <w:pStyle w:val="FrameContents"/>
                              <w:spacing w:lineRule="auto" w:line="240" w:before="0" w:after="0"/>
                              <w:jc w:val="center"/>
                              <w:rPr>
                                <w:rFonts w:cs="Calibri"/>
                                <w:sz w:val="24"/>
                                <w:szCs w:val="24"/>
                              </w:rPr>
                            </w:pPr>
                            <w:r>
                              <w:rPr>
                                <w:rFonts w:cs="Calibri"/>
                                <w:sz w:val="24"/>
                                <w:szCs w:val="24"/>
                              </w:rPr>
                              <w:t>To identify training and development needs with your manager, taking an active part in your Personal Development and Review Plan. To access development opportunities as they arise and share learning with others and where appropriate, actively encourage a learning environment and development within others.</w:t>
                            </w:r>
                          </w:p>
                          <w:p>
                            <w:pPr>
                              <w:pStyle w:val="Heading1"/>
                              <w:ind w:hanging="0" w:left="0"/>
                              <w:rPr>
                                <w:rFonts w:ascii="Calibri" w:hAnsi="Calibri" w:cs="Calibri"/>
                                <w:szCs w:val="24"/>
                              </w:rPr>
                            </w:pPr>
                            <w:r>
                              <w:rPr>
                                <w:rFonts w:cs="Calibri" w:ascii="Calibri" w:hAnsi="Calibri"/>
                                <w:szCs w:val="24"/>
                              </w:rPr>
                            </w:r>
                          </w:p>
                          <w:p>
                            <w:pPr>
                              <w:pStyle w:val="Heading1"/>
                              <w:ind w:hanging="0" w:left="0"/>
                              <w:rPr>
                                <w:rFonts w:ascii="Calibri" w:hAnsi="Calibri" w:cs="Calibri"/>
                                <w:szCs w:val="24"/>
                              </w:rPr>
                            </w:pPr>
                            <w:r>
                              <w:rPr>
                                <w:rFonts w:cs="Calibri" w:ascii="Calibri" w:hAnsi="Calibri"/>
                                <w:szCs w:val="24"/>
                              </w:rPr>
                              <w:t>Policy</w:t>
                            </w:r>
                          </w:p>
                          <w:p>
                            <w:pPr>
                              <w:pStyle w:val="FrameContents"/>
                              <w:spacing w:lineRule="auto" w:line="240" w:before="0" w:after="0"/>
                              <w:jc w:val="center"/>
                              <w:rPr>
                                <w:rFonts w:cs="Calibri"/>
                                <w:sz w:val="24"/>
                                <w:szCs w:val="24"/>
                              </w:rPr>
                            </w:pPr>
                            <w:r>
                              <w:rPr>
                                <w:rFonts w:cs="Calibri"/>
                                <w:sz w:val="24"/>
                                <w:szCs w:val="24"/>
                              </w:rPr>
                              <w:t>To work at all times within the established policies and practices of the Council, within the framework established by the Council Constitution and associated guidance.</w:t>
                            </w:r>
                          </w:p>
                          <w:p>
                            <w:pPr>
                              <w:pStyle w:val="FrameContents"/>
                              <w:spacing w:lineRule="auto" w:line="240" w:before="0" w:after="0"/>
                              <w:jc w:val="center"/>
                              <w:rPr>
                                <w:rFonts w:eastAsia="Times New Roman" w:cs="Calibri"/>
                                <w:b/>
                                <w:sz w:val="24"/>
                                <w:szCs w:val="24"/>
                              </w:rPr>
                            </w:pPr>
                            <w:r>
                              <w:rPr>
                                <w:rFonts w:eastAsia="Times New Roman" w:cs="Calibri"/>
                                <w:b/>
                                <w:sz w:val="24"/>
                                <w:szCs w:val="24"/>
                              </w:rPr>
                            </w:r>
                          </w:p>
                          <w:p>
                            <w:pPr>
                              <w:pStyle w:val="FrameContents"/>
                              <w:spacing w:lineRule="auto" w:line="240" w:before="0" w:after="0"/>
                              <w:jc w:val="center"/>
                              <w:rPr>
                                <w:rFonts w:eastAsia="Times New Roman" w:cs="Calibri"/>
                                <w:b/>
                                <w:sz w:val="24"/>
                                <w:szCs w:val="24"/>
                              </w:rPr>
                            </w:pPr>
                            <w:r>
                              <w:rPr>
                                <w:rFonts w:eastAsia="Times New Roman" w:cs="Calibri"/>
                                <w:b/>
                                <w:sz w:val="24"/>
                                <w:szCs w:val="24"/>
                              </w:rPr>
                              <w:t>Information Governance</w:t>
                            </w:r>
                          </w:p>
                          <w:p>
                            <w:pPr>
                              <w:pStyle w:val="FrameContents"/>
                              <w:spacing w:lineRule="auto" w:line="240" w:before="0" w:after="0"/>
                              <w:jc w:val="center"/>
                              <w:rPr>
                                <w:rFonts w:eastAsia="Times New Roman" w:cs="Calibri"/>
                                <w:sz w:val="24"/>
                                <w:szCs w:val="24"/>
                              </w:rPr>
                            </w:pPr>
                            <w:r>
                              <w:rPr>
                                <w:rFonts w:eastAsia="Times New Roman" w:cs="Calibri"/>
                                <w:sz w:val="24"/>
                                <w:szCs w:val="24"/>
                              </w:rPr>
                              <w:t>Confidentiality is of prime importance.  In the normal course of duties, the post holder will have access to personal and or sensitive information relating to service users, staff and contractors, as well as information of a commercially sensitive nature.  Such information should not be communicated to anyone outside or inside the Council unless done in the normal course of carrying out the duties of the post.  Disciplinary action will be considered where a breach of confidence and or data breach has been established.</w:t>
                            </w:r>
                          </w:p>
                          <w:p>
                            <w:pPr>
                              <w:pStyle w:val="FrameContents"/>
                              <w:tabs>
                                <w:tab w:val="clear" w:pos="720"/>
                                <w:tab w:val="left" w:pos="6528" w:leader="none"/>
                                <w:tab w:val="left" w:pos="7740" w:leader="none"/>
                                <w:tab w:val="right" w:pos="9026" w:leader="none"/>
                              </w:tabs>
                              <w:spacing w:lineRule="auto" w:line="240" w:before="0" w:after="0"/>
                              <w:ind w:left="720" w:right="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All information obtained or held during the post-holders period of employment that relates to the business of the Council and its service users and employees will remain the property of the Council.  Information may be subject to disclosure under relevant legislation.</w:t>
                            </w:r>
                          </w:p>
                          <w:p>
                            <w:pPr>
                              <w:pStyle w:val="FrameContents"/>
                              <w:spacing w:lineRule="auto" w:line="240" w:before="0" w:after="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To ensure information is shared safely and complies with information governance standards and associated legislation.</w:t>
                            </w:r>
                          </w:p>
                        </w:txbxContent>
                      </wps:txbx>
                      <wps:bodyPr anchor="t" lIns="92075" tIns="46355" rIns="92075" bIns="46355">
                        <a:noAutofit/>
                      </wps:bodyPr>
                    </wps:wsp>
                  </a:graphicData>
                </a:graphic>
              </wp:anchor>
            </w:drawing>
          </mc:Choice>
          <mc:Fallback>
            <w:pict>
              <v:rect fillcolor="#FFFFFF" style="position:absolute;rotation:-0;width:715.55pt;height:500.5pt;mso-wrap-distance-left:0pt;mso-wrap-distance-right:0pt;mso-wrap-distance-top:5.7pt;mso-wrap-distance-bottom:5.7pt;margin-top:-8.5pt;mso-position-vertical-relative:text;margin-left:-1pt;mso-position-horizontal-relative:text">
                <v:textbox inset="0.100694444444444in,0.0506944444444444in,0.100694444444444in,0.0506944444444444in">
                  <w:txbxContent>
                    <w:p>
                      <w:pPr>
                        <w:pStyle w:val="Heading1"/>
                        <w:ind w:hanging="0" w:left="0"/>
                        <w:rPr>
                          <w:rFonts w:ascii="Calibri" w:hAnsi="Calibri" w:cs="Calibri"/>
                          <w:szCs w:val="24"/>
                        </w:rPr>
                      </w:pPr>
                      <w:r>
                        <w:rPr>
                          <w:rFonts w:cs="Calibri" w:ascii="Calibri" w:hAnsi="Calibri"/>
                          <w:szCs w:val="24"/>
                        </w:rPr>
                        <w:t>Health and Safety</w:t>
                      </w:r>
                    </w:p>
                    <w:p>
                      <w:pPr>
                        <w:pStyle w:val="FrameContents"/>
                        <w:spacing w:lineRule="auto" w:line="240" w:before="0" w:after="0"/>
                        <w:jc w:val="center"/>
                        <w:rPr>
                          <w:rFonts w:cs="Calibri"/>
                          <w:sz w:val="24"/>
                          <w:szCs w:val="24"/>
                        </w:rPr>
                      </w:pPr>
                      <w:r>
                        <w:rPr>
                          <w:rFonts w:cs="Calibri"/>
                          <w:sz w:val="24"/>
                          <w:szCs w:val="24"/>
                        </w:rPr>
                        <w:t>To operate safely within the workplace with regard to the Council’s health and safety policies, procedures and safe working practices.  To be responsible for your own Health and Safety and that of other employees.</w:t>
                      </w:r>
                    </w:p>
                    <w:p>
                      <w:pPr>
                        <w:pStyle w:val="Heading1"/>
                        <w:ind w:hanging="0" w:left="0"/>
                        <w:rPr>
                          <w:rFonts w:ascii="Calibri" w:hAnsi="Calibri" w:cs="Calibri"/>
                          <w:szCs w:val="24"/>
                        </w:rPr>
                      </w:pPr>
                      <w:r>
                        <w:rPr>
                          <w:rFonts w:cs="Calibri" w:ascii="Calibri" w:hAnsi="Calibri"/>
                          <w:szCs w:val="24"/>
                        </w:rPr>
                      </w:r>
                    </w:p>
                    <w:p>
                      <w:pPr>
                        <w:pStyle w:val="Heading1"/>
                        <w:ind w:hanging="0" w:left="0"/>
                        <w:rPr>
                          <w:rFonts w:ascii="Calibri" w:hAnsi="Calibri" w:cs="Calibri"/>
                          <w:szCs w:val="24"/>
                        </w:rPr>
                      </w:pPr>
                      <w:r>
                        <w:rPr>
                          <w:rFonts w:cs="Calibri" w:ascii="Calibri" w:hAnsi="Calibri"/>
                          <w:szCs w:val="24"/>
                        </w:rPr>
                        <w:t>Equalities &amp; Diversity</w:t>
                      </w:r>
                    </w:p>
                    <w:p>
                      <w:pPr>
                        <w:pStyle w:val="DefaultText"/>
                        <w:widowControl/>
                        <w:jc w:val="center"/>
                        <w:rPr>
                          <w:rFonts w:ascii="Calibri" w:hAnsi="Calibri" w:cs="Calibri"/>
                          <w:szCs w:val="24"/>
                        </w:rPr>
                      </w:pPr>
                      <w:r>
                        <w:rPr>
                          <w:rFonts w:cs="Calibri" w:ascii="Calibri" w:hAnsi="Calibri"/>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pPr>
                        <w:pStyle w:val="DefaultText"/>
                        <w:widowControl/>
                        <w:jc w:val="center"/>
                        <w:rPr>
                          <w:rFonts w:ascii="Calibri" w:hAnsi="Calibri" w:cs="Calibri"/>
                          <w:szCs w:val="24"/>
                        </w:rPr>
                      </w:pPr>
                      <w:r>
                        <w:rPr>
                          <w:rFonts w:cs="Calibri" w:ascii="Calibri" w:hAnsi="Calibri"/>
                          <w:szCs w:val="24"/>
                        </w:rPr>
                      </w:r>
                    </w:p>
                    <w:p>
                      <w:pPr>
                        <w:pStyle w:val="Heading1"/>
                        <w:ind w:hanging="0" w:left="0"/>
                        <w:rPr>
                          <w:rFonts w:ascii="Calibri" w:hAnsi="Calibri" w:cs="Calibri"/>
                          <w:szCs w:val="24"/>
                        </w:rPr>
                      </w:pPr>
                      <w:r>
                        <w:rPr>
                          <w:rFonts w:cs="Calibri" w:ascii="Calibri" w:hAnsi="Calibri"/>
                          <w:szCs w:val="24"/>
                        </w:rPr>
                        <w:t>Customer Care</w:t>
                      </w:r>
                    </w:p>
                    <w:p>
                      <w:pPr>
                        <w:pStyle w:val="FrameContents"/>
                        <w:spacing w:lineRule="auto" w:line="240" w:before="0" w:after="0"/>
                        <w:jc w:val="center"/>
                        <w:rPr>
                          <w:rFonts w:cs="Calibri"/>
                          <w:sz w:val="24"/>
                          <w:szCs w:val="24"/>
                        </w:rPr>
                      </w:pPr>
                      <w:r>
                        <w:rPr>
                          <w:rFonts w:cs="Calibri"/>
                          <w:sz w:val="24"/>
                          <w:szCs w:val="24"/>
                        </w:rPr>
                        <w:t>To continually review, develop and improve systems, processes and services in support of the Council’s pursuit of excellence in service delivery. To recognise the value of its people as a resource.</w:t>
                      </w:r>
                    </w:p>
                    <w:p>
                      <w:pPr>
                        <w:pStyle w:val="Heading1"/>
                        <w:ind w:hanging="0" w:left="0"/>
                        <w:rPr>
                          <w:rFonts w:ascii="Calibri" w:hAnsi="Calibri" w:cs="Calibri"/>
                          <w:szCs w:val="24"/>
                        </w:rPr>
                      </w:pPr>
                      <w:r>
                        <w:rPr>
                          <w:rFonts w:cs="Calibri" w:ascii="Calibri" w:hAnsi="Calibri"/>
                          <w:szCs w:val="24"/>
                        </w:rPr>
                      </w:r>
                    </w:p>
                    <w:p>
                      <w:pPr>
                        <w:pStyle w:val="Heading1"/>
                        <w:ind w:hanging="0" w:left="0"/>
                        <w:rPr>
                          <w:rFonts w:ascii="Calibri" w:hAnsi="Calibri" w:cs="Calibri"/>
                          <w:szCs w:val="24"/>
                        </w:rPr>
                      </w:pPr>
                      <w:r>
                        <w:rPr>
                          <w:rFonts w:cs="Calibri" w:ascii="Calibri" w:hAnsi="Calibri"/>
                          <w:szCs w:val="24"/>
                        </w:rPr>
                        <w:t>Training and Development</w:t>
                      </w:r>
                    </w:p>
                    <w:p>
                      <w:pPr>
                        <w:pStyle w:val="FrameContents"/>
                        <w:spacing w:lineRule="auto" w:line="240" w:before="0" w:after="0"/>
                        <w:jc w:val="center"/>
                        <w:rPr>
                          <w:rFonts w:cs="Calibri"/>
                          <w:sz w:val="24"/>
                          <w:szCs w:val="24"/>
                        </w:rPr>
                      </w:pPr>
                      <w:r>
                        <w:rPr>
                          <w:rFonts w:cs="Calibri"/>
                          <w:sz w:val="24"/>
                          <w:szCs w:val="24"/>
                        </w:rPr>
                        <w:t>To identify training and development needs with your manager, taking an active part in your Personal Development and Review Plan. To access development opportunities as they arise and share learning with others and where appropriate, actively encourage a learning environment and development within others.</w:t>
                      </w:r>
                    </w:p>
                    <w:p>
                      <w:pPr>
                        <w:pStyle w:val="Heading1"/>
                        <w:ind w:hanging="0" w:left="0"/>
                        <w:rPr>
                          <w:rFonts w:ascii="Calibri" w:hAnsi="Calibri" w:cs="Calibri"/>
                          <w:szCs w:val="24"/>
                        </w:rPr>
                      </w:pPr>
                      <w:r>
                        <w:rPr>
                          <w:rFonts w:cs="Calibri" w:ascii="Calibri" w:hAnsi="Calibri"/>
                          <w:szCs w:val="24"/>
                        </w:rPr>
                      </w:r>
                    </w:p>
                    <w:p>
                      <w:pPr>
                        <w:pStyle w:val="Heading1"/>
                        <w:ind w:hanging="0" w:left="0"/>
                        <w:rPr>
                          <w:rFonts w:ascii="Calibri" w:hAnsi="Calibri" w:cs="Calibri"/>
                          <w:szCs w:val="24"/>
                        </w:rPr>
                      </w:pPr>
                      <w:r>
                        <w:rPr>
                          <w:rFonts w:cs="Calibri" w:ascii="Calibri" w:hAnsi="Calibri"/>
                          <w:szCs w:val="24"/>
                        </w:rPr>
                        <w:t>Policy</w:t>
                      </w:r>
                    </w:p>
                    <w:p>
                      <w:pPr>
                        <w:pStyle w:val="FrameContents"/>
                        <w:spacing w:lineRule="auto" w:line="240" w:before="0" w:after="0"/>
                        <w:jc w:val="center"/>
                        <w:rPr>
                          <w:rFonts w:cs="Calibri"/>
                          <w:sz w:val="24"/>
                          <w:szCs w:val="24"/>
                        </w:rPr>
                      </w:pPr>
                      <w:r>
                        <w:rPr>
                          <w:rFonts w:cs="Calibri"/>
                          <w:sz w:val="24"/>
                          <w:szCs w:val="24"/>
                        </w:rPr>
                        <w:t>To work at all times within the established policies and practices of the Council, within the framework established by the Council Constitution and associated guidance.</w:t>
                      </w:r>
                    </w:p>
                    <w:p>
                      <w:pPr>
                        <w:pStyle w:val="FrameContents"/>
                        <w:spacing w:lineRule="auto" w:line="240" w:before="0" w:after="0"/>
                        <w:jc w:val="center"/>
                        <w:rPr>
                          <w:rFonts w:eastAsia="Times New Roman" w:cs="Calibri"/>
                          <w:b/>
                          <w:sz w:val="24"/>
                          <w:szCs w:val="24"/>
                        </w:rPr>
                      </w:pPr>
                      <w:r>
                        <w:rPr>
                          <w:rFonts w:eastAsia="Times New Roman" w:cs="Calibri"/>
                          <w:b/>
                          <w:sz w:val="24"/>
                          <w:szCs w:val="24"/>
                        </w:rPr>
                      </w:r>
                    </w:p>
                    <w:p>
                      <w:pPr>
                        <w:pStyle w:val="FrameContents"/>
                        <w:spacing w:lineRule="auto" w:line="240" w:before="0" w:after="0"/>
                        <w:jc w:val="center"/>
                        <w:rPr>
                          <w:rFonts w:eastAsia="Times New Roman" w:cs="Calibri"/>
                          <w:b/>
                          <w:sz w:val="24"/>
                          <w:szCs w:val="24"/>
                        </w:rPr>
                      </w:pPr>
                      <w:r>
                        <w:rPr>
                          <w:rFonts w:eastAsia="Times New Roman" w:cs="Calibri"/>
                          <w:b/>
                          <w:sz w:val="24"/>
                          <w:szCs w:val="24"/>
                        </w:rPr>
                        <w:t>Information Governance</w:t>
                      </w:r>
                    </w:p>
                    <w:p>
                      <w:pPr>
                        <w:pStyle w:val="FrameContents"/>
                        <w:spacing w:lineRule="auto" w:line="240" w:before="0" w:after="0"/>
                        <w:jc w:val="center"/>
                        <w:rPr>
                          <w:rFonts w:eastAsia="Times New Roman" w:cs="Calibri"/>
                          <w:sz w:val="24"/>
                          <w:szCs w:val="24"/>
                        </w:rPr>
                      </w:pPr>
                      <w:r>
                        <w:rPr>
                          <w:rFonts w:eastAsia="Times New Roman" w:cs="Calibri"/>
                          <w:sz w:val="24"/>
                          <w:szCs w:val="24"/>
                        </w:rPr>
                        <w:t>Confidentiality is of prime importance.  In the normal course of duties, the post holder will have access to personal and or sensitive information relating to service users, staff and contractors, as well as information of a commercially sensitive nature.  Such information should not be communicated to anyone outside or inside the Council unless done in the normal course of carrying out the duties of the post.  Disciplinary action will be considered where a breach of confidence and or data breach has been established.</w:t>
                      </w:r>
                    </w:p>
                    <w:p>
                      <w:pPr>
                        <w:pStyle w:val="FrameContents"/>
                        <w:tabs>
                          <w:tab w:val="clear" w:pos="720"/>
                          <w:tab w:val="left" w:pos="6528" w:leader="none"/>
                          <w:tab w:val="left" w:pos="7740" w:leader="none"/>
                          <w:tab w:val="right" w:pos="9026" w:leader="none"/>
                        </w:tabs>
                        <w:spacing w:lineRule="auto" w:line="240" w:before="0" w:after="0"/>
                        <w:ind w:left="720" w:right="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All information obtained or held during the post-holders period of employment that relates to the business of the Council and its service users and employees will remain the property of the Council.  Information may be subject to disclosure under relevant legislation.</w:t>
                      </w:r>
                    </w:p>
                    <w:p>
                      <w:pPr>
                        <w:pStyle w:val="FrameContents"/>
                        <w:spacing w:lineRule="auto" w:line="240" w:before="0" w:after="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To ensure information is shared safely and complies with information governance standards and associated legislation.</w:t>
                      </w:r>
                    </w:p>
                  </w:txbxContent>
                </v:textbox>
                <w10:wrap type="none"/>
              </v:rect>
            </w:pict>
          </mc:Fallback>
        </mc:AlternateContent>
      </w:r>
    </w:p>
    <w:sectPr>
      <w:type w:val="nextPage"/>
      <w:pgSz w:orient="landscape" w:w="16838" w:h="11906"/>
      <w:pgMar w:left="1440" w:right="1440" w:gutter="0" w:header="0" w:top="993"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b/>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isplayBackgroundShape/>
  <w:trackRevisions/>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jc w:val="center"/>
      <w:outlineLvl w:val="0"/>
    </w:pPr>
    <w:rPr>
      <w:rFonts w:ascii="Times New Roman" w:hAnsi="Times New Roman" w:eastAsia="Times New Roman" w:cs="Times New Roman"/>
      <w:b/>
      <w:sz w:val="24"/>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b/>
    </w:rPr>
  </w:style>
  <w:style w:type="character" w:styleId="WW8Num1z2">
    <w:name w:val="WW8Num1z2"/>
    <w:qFormat/>
    <w:rPr>
      <w:rFonts w:ascii="Wingdings" w:hAnsi="Wingdings" w:cs="Wingdings"/>
    </w:rPr>
  </w:style>
  <w:style w:type="character" w:styleId="WW8Num1z4">
    <w:name w:val="WW8Num1z4"/>
    <w:qFormat/>
    <w:rPr>
      <w:rFonts w:ascii="Courier New" w:hAnsi="Courier New" w:cs="Courier New"/>
    </w:rPr>
  </w:style>
  <w:style w:type="character" w:styleId="WW8Num2z0">
    <w:name w:val="WW8Num2z0"/>
    <w:qFormat/>
    <w:rPr>
      <w:rFonts w:ascii="Symbol" w:hAnsi="Symbol" w:cs="Symbol"/>
      <w:sz w:val="24"/>
      <w:szCs w:val="24"/>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Times New Roman" w:hAnsi="Times New Roman" w:eastAsia="Times New Roman" w:cs="Times New Roman"/>
      <w:b/>
      <w:sz w:val="24"/>
      <w:szCs w:val="20"/>
    </w:rPr>
  </w:style>
  <w:style w:type="character" w:styleId="BodyTextChar">
    <w:name w:val="Body Text Char"/>
    <w:basedOn w:val="DefaultParagraphFont"/>
    <w:qFormat/>
    <w:rPr>
      <w:rFonts w:ascii="Arial" w:hAnsi="Arial" w:eastAsia="Times New Roman" w:cs="Arial"/>
      <w:sz w:val="24"/>
      <w:szCs w:val="20"/>
    </w:rPr>
  </w:style>
  <w:style w:type="character" w:styleId="HeaderChar">
    <w:name w:val="Header Char"/>
    <w:basedOn w:val="DefaultParagraphFont"/>
    <w:qFormat/>
    <w:rPr/>
  </w:style>
  <w:style w:type="character" w:styleId="FooterChar">
    <w:name w:val="Footer Char"/>
    <w:basedOn w:val="DefaultParagraphFont"/>
    <w:qFormat/>
    <w:rPr/>
  </w:style>
  <w:style w:type="character" w:styleId="Strong">
    <w:name w:val="Strong"/>
    <w:basedOn w:val="DefaultParagraphFont"/>
    <w:qFormat/>
    <w:rPr>
      <w:b/>
      <w:bCs/>
    </w:rPr>
  </w:style>
  <w:style w:type="character" w:styleId="HEADINGINLOWERCASE-11PTBOLD">
    <w:name w:val="HEADING IN LOWER CASE - 11PT BOLD"/>
    <w:qFormat/>
    <w:rPr>
      <w:rFonts w:ascii="Calibri" w:hAnsi="Calibri" w:cs="Calibri"/>
      <w:b/>
      <w:bCs/>
      <w:color w:val="8A0066"/>
      <w:sz w:val="22"/>
      <w:szCs w:val="22"/>
    </w:rPr>
  </w:style>
  <w:style w:type="character" w:styleId="ListParagraphChar">
    <w:name w:val="List Paragraph Char"/>
    <w:basedOn w:val="DefaultParagraphFont"/>
    <w:qFormat/>
    <w:rPr/>
  </w:style>
  <w:style w:type="character" w:styleId="cf01">
    <w:name w:val="cf01"/>
    <w:basedOn w:val="DefaultParagraphFont"/>
    <w:qFormat/>
    <w:rPr>
      <w:rFonts w:ascii="Segoe UI" w:hAnsi="Segoe UI" w:cs="Segoe UI"/>
      <w:sz w:val="18"/>
      <w:szCs w:val="18"/>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0"/>
    </w:pPr>
    <w:rPr>
      <w:rFonts w:ascii="Arial" w:hAnsi="Arial" w:eastAsia="Times New Roman" w:cs="Arial"/>
      <w:sz w:val="24"/>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DefaultText">
    <w:name w:val="Default Text"/>
    <w:basedOn w:val="Normal"/>
    <w:qFormat/>
    <w:pPr>
      <w:widowControl w:val="false"/>
      <w:spacing w:lineRule="auto" w:line="240" w:before="0" w:after="0"/>
    </w:pPr>
    <w:rPr>
      <w:rFonts w:ascii="Times New Roman" w:hAnsi="Times New Roman" w:eastAsia="Times New Roman" w:cs="Times New Roman"/>
      <w:sz w:val="24"/>
      <w:szCs w:val="20"/>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hanging="0" w:left="720" w:right="0"/>
      <w:contextualSpacing/>
    </w:pPr>
    <w:rPr/>
  </w:style>
  <w:style w:type="paragraph" w:styleId="Default">
    <w:name w:val="Default"/>
    <w:qFormat/>
    <w:pPr>
      <w:widowControl/>
      <w:suppressAutoHyphens w:val="true"/>
      <w:bidi w:val="0"/>
      <w:spacing w:lineRule="auto" w:line="240" w:before="0" w:after="0"/>
      <w:jc w:val="left"/>
    </w:pPr>
    <w:rPr>
      <w:rFonts w:ascii="Arial" w:hAnsi="Arial" w:eastAsia="Times New Roman" w:cs="Arial"/>
      <w:color w:val="000000"/>
      <w:kern w:val="0"/>
      <w:sz w:val="24"/>
      <w:szCs w:val="24"/>
      <w:lang w:val="en-GB" w:eastAsia="en-GB" w:bidi="ar-SA"/>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image" Target="media/image2.wmf"/><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Trafford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2026-08-14T11:16:00Z</dcterms:created>
  <dc:creator>Barnett, Holly</dc:creator>
  <dc:description/>
  <dc:language>en-US</dc:language>
  <cp:lastModifiedBy>Kelly, Sarah</cp:lastModifiedBy>
  <cp:lastPrinted>1995-11-21T17:41:00Z</cp:lastPrinted>
  <dcterms:modified xsi:type="dcterms:W3CDTF">2026-08-14T11:16:00Z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