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b/>
          <w:b/>
          <w:sz w:val="18"/>
          <w:szCs w:val="18"/>
        </w:rPr>
      </w:pPr>
      <w:r>
        <w:rPr>
          <w:rFonts w:cs="Arial" w:ascii="Arial" w:hAnsi="Arial"/>
          <w:b/>
          <w:sz w:val="18"/>
          <w:szCs w:val="18"/>
        </w:rPr>
        <w:drawing>
          <wp:anchor behindDoc="0" distT="0" distB="0" distL="0" distR="0" simplePos="0" locked="0" layoutInCell="1" allowOverlap="1" relativeHeight="2">
            <wp:simplePos x="0" y="0"/>
            <wp:positionH relativeFrom="margin">
              <wp:align>center</wp:align>
            </wp:positionH>
            <wp:positionV relativeFrom="paragraph">
              <wp:posOffset>-623570</wp:posOffset>
            </wp:positionV>
            <wp:extent cx="742315" cy="61468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8" t="28091" r="626" b="-42"/>
                    <a:stretch>
                      <a:fillRect/>
                    </a:stretch>
                  </pic:blipFill>
                  <pic:spPr bwMode="auto">
                    <a:xfrm>
                      <a:off x="0" y="0"/>
                      <a:ext cx="742315" cy="614680"/>
                    </a:xfrm>
                    <a:prstGeom prst="rect">
                      <a:avLst/>
                    </a:prstGeom>
                  </pic:spPr>
                </pic:pic>
              </a:graphicData>
            </a:graphic>
          </wp:anchor>
        </w:drawing>
      </w:r>
    </w:p>
    <w:p>
      <w:pPr>
        <w:pStyle w:val="Normal"/>
        <w:jc w:val="center"/>
        <w:rPr>
          <w:rFonts w:ascii="Arial" w:hAnsi="Arial" w:cs="Arial"/>
          <w:b/>
          <w:b/>
          <w:sz w:val="18"/>
          <w:szCs w:val="18"/>
        </w:rPr>
      </w:pPr>
      <w:r>
        <w:rPr>
          <w:rFonts w:cs="Arial" w:ascii="Arial" w:hAnsi="Arial"/>
          <w:b/>
          <w:sz w:val="18"/>
          <w:szCs w:val="18"/>
        </w:rPr>
        <w:t>PERSON SPECIFICATION – OFFICE ADMINISTRATOR</w:t>
      </w:r>
    </w:p>
    <w:p>
      <w:pPr>
        <w:pStyle w:val="Normal"/>
        <w:rPr/>
      </w:pPr>
      <w:r>
        <w:rPr>
          <w:rFonts w:cs="Arial" w:ascii="Arial" w:hAnsi="Arial"/>
          <w:b/>
          <w:sz w:val="18"/>
          <w:szCs w:val="18"/>
        </w:rPr>
        <w:t>JOB TITLE:</w:t>
      </w:r>
      <w:r>
        <w:rPr>
          <w:rFonts w:cs="Arial" w:ascii="Arial" w:hAnsi="Arial"/>
          <w:sz w:val="18"/>
          <w:szCs w:val="18"/>
        </w:rPr>
        <w:t xml:space="preserve"> Office Administrator </w:t>
      </w:r>
    </w:p>
    <w:p>
      <w:pPr>
        <w:pStyle w:val="Normal"/>
        <w:rPr/>
      </w:pPr>
      <w:r>
        <w:rPr>
          <w:rFonts w:cs="Arial" w:ascii="Arial" w:hAnsi="Arial"/>
          <w:b/>
          <w:sz w:val="18"/>
          <w:szCs w:val="18"/>
        </w:rPr>
        <w:t>SALARY SCALE:</w:t>
      </w:r>
      <w:r>
        <w:rPr>
          <w:rFonts w:cs="Arial" w:ascii="Arial" w:hAnsi="Arial"/>
          <w:sz w:val="18"/>
          <w:szCs w:val="18"/>
        </w:rPr>
        <w:t xml:space="preserve"> Band 3</w:t>
      </w:r>
    </w:p>
    <w:p>
      <w:pPr>
        <w:pStyle w:val="Normal"/>
        <w:rPr/>
      </w:pPr>
      <w:r>
        <w:rPr>
          <w:rFonts w:cs="Arial" w:ascii="Arial" w:hAnsi="Arial"/>
          <w:b/>
          <w:sz w:val="18"/>
          <w:szCs w:val="18"/>
        </w:rPr>
        <w:t>Hours:</w:t>
      </w:r>
      <w:r>
        <w:rPr>
          <w:rFonts w:cs="Arial" w:ascii="Arial" w:hAnsi="Arial"/>
          <w:sz w:val="18"/>
          <w:szCs w:val="18"/>
        </w:rPr>
        <w:t xml:space="preserve"> Full-time, 36.25 Hours per week</w:t>
      </w:r>
    </w:p>
    <w:p>
      <w:pPr>
        <w:pStyle w:val="Normal"/>
        <w:rPr/>
      </w:pPr>
      <w:r>
        <w:rPr>
          <w:rFonts w:cs="Arial" w:ascii="Arial" w:hAnsi="Arial"/>
          <w:b/>
          <w:sz w:val="18"/>
          <w:szCs w:val="18"/>
        </w:rPr>
        <w:t>Working weeks</w:t>
      </w:r>
      <w:r>
        <w:rPr>
          <w:rFonts w:cs="Arial" w:ascii="Arial" w:hAnsi="Arial"/>
          <w:sz w:val="18"/>
          <w:szCs w:val="18"/>
        </w:rPr>
        <w:t>: Term-time plus 5 INSET days</w:t>
      </w:r>
    </w:p>
    <w:p>
      <w:pPr>
        <w:pStyle w:val="Normal"/>
        <w:rPr/>
      </w:pPr>
      <w:r>
        <w:rPr>
          <w:rFonts w:cs="Arial" w:ascii="Arial" w:hAnsi="Arial"/>
          <w:b/>
          <w:sz w:val="18"/>
          <w:szCs w:val="18"/>
        </w:rPr>
        <w:t>Responsible to</w:t>
      </w:r>
      <w:r>
        <w:rPr>
          <w:rFonts w:cs="Arial" w:ascii="Arial" w:hAnsi="Arial"/>
          <w:sz w:val="18"/>
          <w:szCs w:val="18"/>
        </w:rPr>
        <w:t>: School Business Manager</w:t>
      </w:r>
    </w:p>
    <w:tbl>
      <w:tblPr>
        <w:tblW w:w="9026" w:type="dxa"/>
        <w:jc w:val="left"/>
        <w:tblInd w:w="0" w:type="dxa"/>
        <w:tblCellMar>
          <w:top w:w="0" w:type="dxa"/>
          <w:left w:w="108" w:type="dxa"/>
          <w:bottom w:w="0" w:type="dxa"/>
          <w:right w:w="108" w:type="dxa"/>
        </w:tblCellMar>
      </w:tblPr>
      <w:tblGrid>
        <w:gridCol w:w="6981"/>
        <w:gridCol w:w="1008"/>
        <w:gridCol w:w="1037"/>
      </w:tblGrid>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 xml:space="preserve">Qualifications &amp; Knowledge </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 xml:space="preserve">Essential </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 xml:space="preserve">Desirable </w:t>
            </w:r>
          </w:p>
        </w:tc>
      </w:tr>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Good standards of written and oral language skills</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English and Mathematics GCSE Grade 4 or above (or equivalent)</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 xml:space="preserve">Administrative qualifications equivalent to Level 2 </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Good IT knowledge and literacy</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First Aid qualification or willing to work/working towards</w:t>
            </w:r>
          </w:p>
        </w:tc>
        <w:tc>
          <w:tcPr>
            <w:tcW w:w="100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r>
    </w:tbl>
    <w:p>
      <w:pPr>
        <w:pStyle w:val="Normal"/>
        <w:rPr>
          <w:rFonts w:ascii="Arial" w:hAnsi="Arial" w:cs="Arial"/>
          <w:sz w:val="18"/>
          <w:szCs w:val="18"/>
        </w:rPr>
      </w:pPr>
      <w:r>
        <w:rPr>
          <w:rFonts w:cs="Arial" w:ascii="Arial" w:hAnsi="Arial"/>
          <w:sz w:val="18"/>
          <w:szCs w:val="18"/>
        </w:rPr>
      </w:r>
    </w:p>
    <w:tbl>
      <w:tblPr>
        <w:tblW w:w="9026" w:type="dxa"/>
        <w:jc w:val="left"/>
        <w:tblInd w:w="0" w:type="dxa"/>
        <w:tblCellMar>
          <w:top w:w="0" w:type="dxa"/>
          <w:left w:w="108" w:type="dxa"/>
          <w:bottom w:w="0" w:type="dxa"/>
          <w:right w:w="108" w:type="dxa"/>
        </w:tblCellMar>
      </w:tblPr>
      <w:tblGrid>
        <w:gridCol w:w="6981"/>
        <w:gridCol w:w="1008"/>
        <w:gridCol w:w="1037"/>
      </w:tblGrid>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 xml:space="preserve">Experience </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 xml:space="preserve">Essential </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 xml:space="preserve">Desirable </w:t>
            </w:r>
          </w:p>
        </w:tc>
      </w:tr>
      <w:tr>
        <w:trPr/>
        <w:tc>
          <w:tcPr>
            <w:tcW w:w="6981" w:type="dxa"/>
            <w:tcBorders>
              <w:top w:val="single" w:sz="4" w:space="0" w:color="000000"/>
              <w:left w:val="single" w:sz="4" w:space="0" w:color="000000"/>
              <w:bottom w:val="single" w:sz="4" w:space="0" w:color="000000"/>
            </w:tcBorders>
            <w:shd w:fill="auto" w:val="clear"/>
          </w:tcPr>
          <w:p>
            <w:pPr>
              <w:pStyle w:val="Normal"/>
              <w:pBd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Experience of providing a wide range of administrative tasks / support in a similar environment (ideally within a school setting) and the maintenance and updating of various record systems</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pBd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Experience of working within a team and on own initiative to achieve collective goals</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pBdr/>
              <w:spacing w:lineRule="auto" w:line="240" w:before="0" w:after="0"/>
              <w:jc w:val="both"/>
              <w:rPr/>
            </w:pPr>
            <w:r>
              <w:rPr>
                <w:rFonts w:eastAsia="Arial" w:cs="Arial" w:ascii="Arial" w:hAnsi="Arial"/>
                <w:color w:val="000000"/>
                <w:sz w:val="18"/>
                <w:szCs w:val="18"/>
              </w:rPr>
              <w:t>Experience of data input/extraction using a wide variety of databases and ICT packages and systems (ideally including use of a school information management system</w:t>
            </w:r>
            <w:r>
              <w:rPr>
                <w:rFonts w:eastAsia="Arial" w:cs="Arial" w:ascii="Arial" w:hAnsi="Arial"/>
                <w:color w:val="000000"/>
              </w:rPr>
              <w:t>)</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pBd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Experience of taking minutes of meetings</w:t>
            </w:r>
          </w:p>
        </w:tc>
        <w:tc>
          <w:tcPr>
            <w:tcW w:w="100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r>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Arial" w:cs="Arial"/>
                <w:color w:val="000000"/>
                <w:sz w:val="18"/>
                <w:szCs w:val="18"/>
              </w:rPr>
            </w:pPr>
            <w:r>
              <w:rPr>
                <w:rFonts w:eastAsia="Arial" w:cs="Arial" w:ascii="Arial" w:hAnsi="Arial"/>
                <w:color w:val="000000"/>
                <w:sz w:val="18"/>
                <w:szCs w:val="18"/>
              </w:rPr>
              <w:t>Experience of basic financial processes</w:t>
            </w:r>
          </w:p>
        </w:tc>
        <w:tc>
          <w:tcPr>
            <w:tcW w:w="100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bookmarkStart w:id="0" w:name="_GoBack"/>
            <w:bookmarkEnd w:id="0"/>
          </w:p>
        </w:tc>
      </w:tr>
    </w:tbl>
    <w:p>
      <w:pPr>
        <w:pStyle w:val="Normal"/>
        <w:rPr>
          <w:rFonts w:ascii="Arial" w:hAnsi="Arial" w:cs="Arial"/>
          <w:sz w:val="18"/>
          <w:szCs w:val="18"/>
        </w:rPr>
      </w:pPr>
      <w:r>
        <w:rPr>
          <w:rFonts w:cs="Arial" w:ascii="Arial" w:hAnsi="Arial"/>
          <w:sz w:val="18"/>
          <w:szCs w:val="18"/>
        </w:rPr>
      </w:r>
    </w:p>
    <w:tbl>
      <w:tblPr>
        <w:tblW w:w="9026" w:type="dxa"/>
        <w:jc w:val="left"/>
        <w:tblInd w:w="0" w:type="dxa"/>
        <w:tblCellMar>
          <w:top w:w="0" w:type="dxa"/>
          <w:left w:w="108" w:type="dxa"/>
          <w:bottom w:w="0" w:type="dxa"/>
          <w:right w:w="108" w:type="dxa"/>
        </w:tblCellMar>
      </w:tblPr>
      <w:tblGrid>
        <w:gridCol w:w="6981"/>
        <w:gridCol w:w="1008"/>
        <w:gridCol w:w="1037"/>
      </w:tblGrid>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 xml:space="preserve">Knowledge </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 xml:space="preserve">Essential </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 xml:space="preserve">Desirable </w:t>
            </w:r>
          </w:p>
        </w:tc>
      </w:tr>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Arial" w:cs="Arial"/>
                <w:color w:val="000000"/>
                <w:sz w:val="18"/>
                <w:szCs w:val="18"/>
              </w:rPr>
            </w:pPr>
            <w:r>
              <w:rPr>
                <w:rFonts w:eastAsia="Arial" w:cs="Arial" w:ascii="Arial" w:hAnsi="Arial"/>
                <w:color w:val="000000"/>
                <w:sz w:val="18"/>
                <w:szCs w:val="18"/>
              </w:rPr>
              <w:t>Best practice and use of telephone systems</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pBdr/>
              <w:spacing w:lineRule="auto" w:line="276" w:before="0" w:after="0"/>
              <w:ind w:left="0" w:right="34" w:hanging="0"/>
              <w:jc w:val="both"/>
              <w:rPr>
                <w:rFonts w:ascii="Arial" w:hAnsi="Arial" w:eastAsia="Arial" w:cs="Arial"/>
                <w:color w:val="000000"/>
                <w:sz w:val="18"/>
                <w:szCs w:val="18"/>
              </w:rPr>
            </w:pPr>
            <w:r>
              <w:rPr>
                <w:rFonts w:eastAsia="Arial" w:cs="Arial" w:ascii="Arial" w:hAnsi="Arial"/>
                <w:color w:val="000000"/>
                <w:sz w:val="18"/>
                <w:szCs w:val="18"/>
              </w:rPr>
              <w:t>Flexible approach to supporting children and families as part of role</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pBdr/>
              <w:spacing w:lineRule="auto" w:line="276" w:before="0" w:after="0"/>
              <w:ind w:left="0" w:right="34" w:hanging="0"/>
              <w:jc w:val="both"/>
              <w:rPr>
                <w:rFonts w:ascii="Arial" w:hAnsi="Arial" w:eastAsia="Arial" w:cs="Arial"/>
                <w:color w:val="000000"/>
                <w:sz w:val="18"/>
                <w:szCs w:val="18"/>
              </w:rPr>
            </w:pPr>
            <w:r>
              <w:rPr>
                <w:rFonts w:eastAsia="Arial" w:cs="Arial" w:ascii="Arial" w:hAnsi="Arial"/>
                <w:color w:val="000000"/>
                <w:sz w:val="18"/>
                <w:szCs w:val="18"/>
              </w:rPr>
              <w:t>Competent in the use of ICT packages, including word processing and computerised systems (ideally having knowledge of or having experience using school information management systems)</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Arial" w:cs="Arial"/>
                <w:color w:val="000000"/>
                <w:sz w:val="18"/>
                <w:szCs w:val="18"/>
              </w:rPr>
            </w:pPr>
            <w:r>
              <w:rPr>
                <w:rFonts w:eastAsia="Arial" w:cs="Arial" w:ascii="Arial" w:hAnsi="Arial"/>
                <w:color w:val="000000"/>
                <w:sz w:val="18"/>
                <w:szCs w:val="18"/>
              </w:rPr>
              <w:t>Ability to use relevant office equipment effectively in relation to job role</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Arial" w:cs="Arial"/>
                <w:color w:val="000000"/>
                <w:sz w:val="18"/>
                <w:szCs w:val="18"/>
              </w:rPr>
            </w:pPr>
            <w:r>
              <w:rPr>
                <w:rFonts w:eastAsia="Arial" w:cs="Arial" w:ascii="Arial" w:hAnsi="Arial"/>
                <w:color w:val="000000"/>
                <w:sz w:val="18"/>
                <w:szCs w:val="18"/>
              </w:rPr>
              <w:t>Understanding of safeguarding procedures and data protection</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bl>
    <w:p>
      <w:pPr>
        <w:pStyle w:val="Normal"/>
        <w:rPr>
          <w:rFonts w:ascii="Arial" w:hAnsi="Arial" w:cs="Arial"/>
          <w:sz w:val="18"/>
          <w:szCs w:val="18"/>
        </w:rPr>
      </w:pPr>
      <w:r>
        <w:rPr>
          <w:rFonts w:cs="Arial" w:ascii="Arial" w:hAnsi="Arial"/>
          <w:sz w:val="18"/>
          <w:szCs w:val="18"/>
        </w:rPr>
      </w:r>
    </w:p>
    <w:tbl>
      <w:tblPr>
        <w:tblW w:w="9026" w:type="dxa"/>
        <w:jc w:val="left"/>
        <w:tblInd w:w="0" w:type="dxa"/>
        <w:tblCellMar>
          <w:top w:w="0" w:type="dxa"/>
          <w:left w:w="108" w:type="dxa"/>
          <w:bottom w:w="0" w:type="dxa"/>
          <w:right w:w="108" w:type="dxa"/>
        </w:tblCellMar>
      </w:tblPr>
      <w:tblGrid>
        <w:gridCol w:w="6981"/>
        <w:gridCol w:w="1008"/>
        <w:gridCol w:w="1037"/>
      </w:tblGrid>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Skills &amp; Abilities</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 xml:space="preserve">Essential </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 xml:space="preserve">Desirable </w:t>
            </w:r>
          </w:p>
        </w:tc>
      </w:tr>
      <w:tr>
        <w:trPr/>
        <w:tc>
          <w:tcPr>
            <w:tcW w:w="698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Arial" w:cs="Arial"/>
                <w:color w:val="000000"/>
                <w:sz w:val="18"/>
                <w:szCs w:val="18"/>
              </w:rPr>
            </w:pPr>
            <w:r>
              <w:rPr>
                <w:rFonts w:eastAsia="Arial" w:cs="Arial" w:ascii="Arial" w:hAnsi="Arial"/>
                <w:color w:val="000000"/>
                <w:sz w:val="18"/>
                <w:szCs w:val="18"/>
              </w:rPr>
              <w:t>Excellent communication/administration skills with the ability to communicate effectively with all customers, both internal and external</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pBd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Ability to handle situations with sensitivity, tact and diplomacy with a customer focused approach to service delivery and high performance</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pBd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Ability to analyse non-complex queries and issues at first point of contact and identify appropriate solutions, responding independently to unexpected problems and situations where appropriate</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pBdr/>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t>Ability to initiate developments to improve practice</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pBdr/>
              <w:spacing w:lineRule="auto" w:line="276" w:before="0" w:after="0"/>
              <w:ind w:left="0" w:right="34" w:hanging="0"/>
              <w:jc w:val="both"/>
              <w:rPr>
                <w:rFonts w:ascii="Arial" w:hAnsi="Arial" w:eastAsia="Arial" w:cs="Arial"/>
                <w:color w:val="000000"/>
                <w:sz w:val="18"/>
                <w:szCs w:val="18"/>
              </w:rPr>
            </w:pPr>
            <w:r>
              <w:rPr>
                <w:rFonts w:eastAsia="Arial" w:cs="Arial" w:ascii="Arial" w:hAnsi="Arial"/>
                <w:color w:val="000000"/>
                <w:sz w:val="18"/>
                <w:szCs w:val="18"/>
              </w:rPr>
              <w:t>Ability to work under pressure and multi-task</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r>
        <w:trPr/>
        <w:tc>
          <w:tcPr>
            <w:tcW w:w="6981" w:type="dxa"/>
            <w:tcBorders>
              <w:top w:val="single" w:sz="4" w:space="0" w:color="000000"/>
              <w:left w:val="single" w:sz="4" w:space="0" w:color="000000"/>
              <w:bottom w:val="single" w:sz="4" w:space="0" w:color="000000"/>
            </w:tcBorders>
            <w:shd w:fill="auto" w:val="clear"/>
          </w:tcPr>
          <w:p>
            <w:pPr>
              <w:pStyle w:val="Normal"/>
              <w:pBdr/>
              <w:spacing w:lineRule="auto" w:line="276" w:before="0" w:after="0"/>
              <w:ind w:left="0" w:right="34" w:hanging="0"/>
              <w:jc w:val="both"/>
              <w:rPr>
                <w:rFonts w:ascii="Arial" w:hAnsi="Arial" w:eastAsia="Arial" w:cs="Arial"/>
                <w:color w:val="000000"/>
                <w:sz w:val="18"/>
                <w:szCs w:val="18"/>
              </w:rPr>
            </w:pPr>
            <w:r>
              <w:rPr>
                <w:rFonts w:eastAsia="Arial" w:cs="Arial" w:ascii="Arial" w:hAnsi="Arial"/>
                <w:color w:val="000000"/>
                <w:sz w:val="18"/>
                <w:szCs w:val="18"/>
              </w:rPr>
              <w:t>Able to develop effective working relationships with all internal and external partners</w:t>
            </w:r>
          </w:p>
        </w:tc>
        <w:tc>
          <w:tcPr>
            <w:tcW w:w="1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18"/>
                <w:szCs w:val="18"/>
              </w:rPr>
            </w:pPr>
            <w:r>
              <w:rPr>
                <w:rFonts w:cs="Arial" w:ascii="Arial" w:hAnsi="Arial"/>
                <w:sz w:val="18"/>
                <w:szCs w:val="18"/>
              </w:rPr>
              <w:t>X</w:t>
            </w:r>
          </w:p>
        </w:tc>
        <w:tc>
          <w:tcPr>
            <w:tcW w:w="10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18"/>
                <w:szCs w:val="18"/>
              </w:rPr>
            </w:pPr>
            <w:r>
              <w:rPr>
                <w:rFonts w:cs="Arial" w:ascii="Arial" w:hAnsi="Arial"/>
                <w:sz w:val="18"/>
                <w:szCs w:val="18"/>
              </w:rPr>
            </w:r>
          </w:p>
        </w:tc>
      </w:tr>
    </w:tbl>
    <w:p>
      <w:pPr>
        <w:pStyle w:val="Normal"/>
        <w:spacing w:before="0" w:after="160"/>
        <w:rPr/>
      </w:pPr>
      <w:r>
        <w:rPr/>
        <mc:AlternateContent>
          <mc:Choice Requires="wps">
            <w:drawing>
              <wp:anchor behindDoc="0" distT="0" distB="0" distL="114935" distR="114935" simplePos="0" locked="0" layoutInCell="1" allowOverlap="1" relativeHeight="3">
                <wp:simplePos x="0" y="0"/>
                <wp:positionH relativeFrom="rightMargin">
                  <wp:posOffset>0</wp:posOffset>
                </wp:positionH>
                <wp:positionV relativeFrom="paragraph">
                  <wp:posOffset>1705610</wp:posOffset>
                </wp:positionV>
                <wp:extent cx="5827395" cy="1744345"/>
                <wp:effectExtent l="0" t="0" r="0" b="0"/>
                <wp:wrapNone/>
                <wp:docPr id="2" name=""/>
                <a:graphic xmlns:a="http://schemas.openxmlformats.org/drawingml/2006/main">
                  <a:graphicData uri="http://schemas.microsoft.com/office/word/2010/wordprocessingShape">
                    <wps:wsp>
                      <wps:cNvSpPr txBox="1"/>
                      <wps:spPr>
                        <a:xfrm>
                          <a:off x="0" y="0"/>
                          <a:ext cx="5826600" cy="174384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0pt;margin-top:134.3pt;width:458.75pt;height:137.25pt;mso-position-horizont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3175" simplePos="0" locked="0" layoutInCell="1" allowOverlap="1" relativeHeight="4">
                <wp:simplePos x="0" y="0"/>
                <wp:positionH relativeFrom="rightMargin">
                  <wp:posOffset>0</wp:posOffset>
                </wp:positionH>
                <wp:positionV relativeFrom="paragraph">
                  <wp:posOffset>1705610</wp:posOffset>
                </wp:positionV>
                <wp:extent cx="5826760" cy="786130"/>
                <wp:effectExtent l="0" t="0" r="0" b="0"/>
                <wp:wrapNone/>
                <wp:docPr id="3" name="Frame1"/>
                <a:graphic xmlns:a="http://schemas.openxmlformats.org/drawingml/2006/main">
                  <a:graphicData uri="http://schemas.microsoft.com/office/word/2010/wordprocessingShape">
                    <wps:wsp>
                      <wps:cNvSpPr txBox="1"/>
                      <wps:spPr>
                        <a:xfrm>
                          <a:off x="0" y="0"/>
                          <a:ext cx="5826760" cy="786130"/>
                        </a:xfrm>
                        <a:prstGeom prst="rect"/>
                        <a:solidFill>
                          <a:srgbClr val="FFFFFF"/>
                        </a:solidFill>
                      </wps:spPr>
                      <wps:txbx>
                        <w:txbxContent>
                          <w:p>
                            <w:pPr>
                              <w:pStyle w:val="FrameContents"/>
                              <w:spacing w:lineRule="auto" w:line="240" w:before="0" w:after="240"/>
                              <w:rPr>
                                <w:rFonts w:ascii="Arial" w:hAnsi="Arial" w:cs="Arial"/>
                                <w:b/>
                                <w:b/>
                                <w:sz w:val="18"/>
                                <w:szCs w:val="18"/>
                              </w:rPr>
                            </w:pPr>
                            <w:r>
                              <w:rPr>
                                <w:rFonts w:cs="Arial" w:ascii="Arial" w:hAnsi="Arial"/>
                                <w:b/>
                                <w:sz w:val="18"/>
                                <w:szCs w:val="18"/>
                              </w:rPr>
                              <w:t>Safeguarding</w:t>
                            </w:r>
                          </w:p>
                          <w:p>
                            <w:pPr>
                              <w:pStyle w:val="FrameContents"/>
                              <w:rPr>
                                <w:rFonts w:ascii="Arial" w:hAnsi="Arial" w:cs="Arial"/>
                                <w:sz w:val="18"/>
                                <w:szCs w:val="18"/>
                              </w:rPr>
                            </w:pPr>
                            <w:r>
                              <w:rPr>
                                <w:rFonts w:cs="Arial" w:ascii="Arial" w:hAnsi="Arial"/>
                                <w:sz w:val="18"/>
                                <w:szCs w:val="18"/>
                              </w:rPr>
                              <w:t>The school is committed to safeguarding and promoting the welfare of children and expects all staff and volunteers to share this commitment. Enhanced disclosure from the disclosure and barred service is essential. Two references from recent Headteacher’s or Senior Leaders and a full document check are also required. Any offer of a job will be subject to all these aspects being fulfilled completely. Any irregularities in this process will result in a withdrawal of the offer.</w:t>
                            </w:r>
                          </w:p>
                          <w:p>
                            <w:pPr>
                              <w:pStyle w:val="FrameContents"/>
                              <w:rPr>
                                <w:rFonts w:ascii="Arial" w:hAnsi="Arial" w:cs="Arial"/>
                                <w:sz w:val="18"/>
                                <w:szCs w:val="18"/>
                              </w:rPr>
                            </w:pPr>
                            <w:r>
                              <w:rPr>
                                <w:rFonts w:cs="Arial" w:ascii="Arial" w:hAnsi="Arial"/>
                                <w:sz w:val="18"/>
                                <w:szCs w:val="18"/>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 This document must not be altered once it has been signed but it will be reviewed annually as part of the appraisal process or as appropriate.</w:t>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458.8pt;height:61.9pt;mso-wrap-distance-left:0pt;mso-wrap-distance-right:0.25pt;mso-wrap-distance-top:5.7pt;mso-wrap-distance-bottom:5.7pt;margin-top:134.3pt;mso-position-vertical-relative:text;margin-left:0pt;mso-position-horizontal-relative:text">
                <v:textbox inset="0.100694444444444in,0.0506944444444444in,0.100694444444444in,0.0506944444444444in">
                  <w:txbxContent>
                    <w:p>
                      <w:pPr>
                        <w:pStyle w:val="FrameContents"/>
                        <w:spacing w:lineRule="auto" w:line="240" w:before="0" w:after="240"/>
                        <w:rPr>
                          <w:rFonts w:ascii="Arial" w:hAnsi="Arial" w:cs="Arial"/>
                          <w:b/>
                          <w:b/>
                          <w:sz w:val="18"/>
                          <w:szCs w:val="18"/>
                        </w:rPr>
                      </w:pPr>
                      <w:r>
                        <w:rPr>
                          <w:rFonts w:cs="Arial" w:ascii="Arial" w:hAnsi="Arial"/>
                          <w:b/>
                          <w:sz w:val="18"/>
                          <w:szCs w:val="18"/>
                        </w:rPr>
                        <w:t>Safeguarding</w:t>
                      </w:r>
                    </w:p>
                    <w:p>
                      <w:pPr>
                        <w:pStyle w:val="FrameContents"/>
                        <w:rPr>
                          <w:rFonts w:ascii="Arial" w:hAnsi="Arial" w:cs="Arial"/>
                          <w:sz w:val="18"/>
                          <w:szCs w:val="18"/>
                        </w:rPr>
                      </w:pPr>
                      <w:r>
                        <w:rPr>
                          <w:rFonts w:cs="Arial" w:ascii="Arial" w:hAnsi="Arial"/>
                          <w:sz w:val="18"/>
                          <w:szCs w:val="18"/>
                        </w:rPr>
                        <w:t>The school is committed to safeguarding and promoting the welfare of children and expects all staff and volunteers to share this commitment. Enhanced disclosure from the disclosure and barred service is essential. Two references from recent Headteacher’s or Senior Leaders and a full document check are also required. Any offer of a job will be subject to all these aspects being fulfilled completely. Any irregularities in this process will result in a withdrawal of the offer.</w:t>
                      </w:r>
                    </w:p>
                    <w:p>
                      <w:pPr>
                        <w:pStyle w:val="FrameContents"/>
                        <w:rPr>
                          <w:rFonts w:ascii="Arial" w:hAnsi="Arial" w:cs="Arial"/>
                          <w:sz w:val="18"/>
                          <w:szCs w:val="18"/>
                        </w:rPr>
                      </w:pPr>
                      <w:r>
                        <w:rPr>
                          <w:rFonts w:cs="Arial" w:ascii="Arial" w:hAnsi="Arial"/>
                          <w:sz w:val="18"/>
                          <w:szCs w:val="18"/>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 This document must not be altered once it has been signed but it will be reviewed annually as part of the appraisal process or as appropriate.</w:t>
                      </w:r>
                    </w:p>
                    <w:p>
                      <w:pPr>
                        <w:pStyle w:val="FrameContents"/>
                        <w:spacing w:before="0" w:after="160"/>
                        <w:rPr/>
                      </w:pPr>
                      <w:r>
                        <w:rPr/>
                      </w:r>
                    </w:p>
                  </w:txbxContent>
                </v:textbox>
              </v:rect>
            </w:pict>
          </mc:Fallback>
        </mc:AlternateConten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Appletabspan">
    <w:name w:val="apple-tab-span"/>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Hamblin Education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2026-04-20T16:44:00Z</dcterms:created>
  <dc:creator>Zack Richardson</dc:creator>
  <dc:description/>
  <dc:language>en-US</dc:language>
  <cp:lastModifiedBy>Victoria Hardman</cp:lastModifiedBy>
  <cp:lastPrinted>1995-11-21T17:41:00Z</cp:lastPrinted>
  <dcterms:modified xsi:type="dcterms:W3CDTF">2026-04-20T16:45:00Z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Hamblin Education Trust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