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280"/>
        <w:jc w:val="center"/>
        <w:rPr/>
      </w:pPr>
      <w:r>
        <w:rPr/>
        <w:drawing>
          <wp:inline distT="0" distB="0" distL="0" distR="0">
            <wp:extent cx="1148715" cy="8763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0" t="-40" r="-30" b="-40"/>
                    <a:stretch>
                      <a:fillRect/>
                    </a:stretch>
                  </pic:blipFill>
                  <pic:spPr bwMode="auto">
                    <a:xfrm>
                      <a:off x="0" y="0"/>
                      <a:ext cx="1148715" cy="876300"/>
                    </a:xfrm>
                    <a:prstGeom prst="rect">
                      <a:avLst/>
                    </a:prstGeom>
                  </pic:spPr>
                </pic:pic>
              </a:graphicData>
            </a:graphic>
          </wp:inline>
        </w:drawing>
      </w:r>
    </w:p>
    <w:p>
      <w:pPr>
        <w:pStyle w:val="Normal"/>
        <w:spacing w:lineRule="auto" w:line="240" w:before="280" w:after="280"/>
        <w:jc w:val="center"/>
        <w:rPr>
          <w:rFonts w:ascii="Arial" w:hAnsi="Arial" w:eastAsia="Times New Roman" w:cs="Arial"/>
          <w:b/>
          <w:b/>
          <w:bCs/>
          <w:lang w:eastAsia="en-GB"/>
        </w:rPr>
      </w:pPr>
      <w:r>
        <w:rPr/>
        <w:drawing>
          <wp:inline distT="0" distB="0" distL="0" distR="0">
            <wp:extent cx="3834765" cy="110744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6" t="-22" r="-6" b="-22"/>
                    <a:stretch>
                      <a:fillRect/>
                    </a:stretch>
                  </pic:blipFill>
                  <pic:spPr bwMode="auto">
                    <a:xfrm>
                      <a:off x="0" y="0"/>
                      <a:ext cx="3834765" cy="1107440"/>
                    </a:xfrm>
                    <a:prstGeom prst="rect">
                      <a:avLst/>
                    </a:prstGeom>
                  </pic:spPr>
                </pic:pic>
              </a:graphicData>
            </a:graphic>
          </wp:inline>
        </w:drawing>
      </w:r>
    </w:p>
    <w:p>
      <w:pPr>
        <w:pStyle w:val="Normal"/>
        <w:spacing w:lineRule="auto" w:line="240" w:before="280" w:after="280"/>
        <w:jc w:val="both"/>
        <w:rPr>
          <w:rFonts w:ascii="Arial" w:hAnsi="Arial" w:eastAsia="Times New Roman" w:cs="Arial"/>
          <w:b/>
          <w:b/>
          <w:bCs/>
          <w:lang w:eastAsia="en-GB"/>
        </w:rPr>
      </w:pPr>
      <w:r>
        <w:rPr>
          <w:rFonts w:eastAsia="Times New Roman" w:cs="Arial" w:ascii="Arial" w:hAnsi="Arial"/>
          <w:b/>
          <w:bCs/>
          <w:lang w:eastAsia="en-GB"/>
        </w:rPr>
        <w:t>Job Description: Head of School - Altrincham Church of England Primary School</w:t>
      </w:r>
    </w:p>
    <w:p>
      <w:pPr>
        <w:pStyle w:val="Normal"/>
        <w:spacing w:lineRule="auto" w:line="240" w:before="280" w:after="280"/>
        <w:jc w:val="both"/>
        <w:rPr>
          <w:rFonts w:ascii="Arial" w:hAnsi="Arial" w:eastAsia="Times New Roman" w:cs="Arial"/>
          <w:b/>
          <w:b/>
          <w:bCs/>
          <w:lang w:eastAsia="en-GB"/>
        </w:rPr>
      </w:pPr>
      <w:r>
        <w:rPr>
          <w:rFonts w:eastAsia="Times New Roman" w:cs="Arial" w:ascii="Arial" w:hAnsi="Arial"/>
          <w:b/>
          <w:bCs/>
          <w:lang w:eastAsia="en-GB"/>
        </w:rPr>
        <w:t>Job Details</w:t>
      </w:r>
    </w:p>
    <w:p>
      <w:pPr>
        <w:pStyle w:val="Normal"/>
        <w:spacing w:lineRule="auto" w:line="240" w:before="280" w:after="280"/>
        <w:ind w:left="720" w:right="0" w:hanging="0"/>
        <w:jc w:val="both"/>
        <w:rPr/>
      </w:pPr>
      <w:r>
        <w:rPr>
          <w:rFonts w:eastAsia="Times New Roman" w:cs="Arial" w:ascii="Arial" w:hAnsi="Arial"/>
          <w:b/>
          <w:bCs/>
          <w:lang w:eastAsia="en-GB"/>
        </w:rPr>
        <w:t>Salary:</w:t>
      </w:r>
      <w:r>
        <w:rPr>
          <w:rFonts w:eastAsia="Times New Roman" w:cs="Arial" w:ascii="Arial" w:hAnsi="Arial"/>
          <w:lang w:eastAsia="en-GB"/>
        </w:rPr>
        <w:t xml:space="preserve"> L6-10 (£58,569 - £64,691)</w:t>
      </w:r>
    </w:p>
    <w:p>
      <w:pPr>
        <w:pStyle w:val="Normal"/>
        <w:spacing w:lineRule="auto" w:line="240" w:before="280" w:after="280"/>
        <w:ind w:left="720" w:right="0" w:hanging="0"/>
        <w:jc w:val="both"/>
        <w:rPr/>
      </w:pPr>
      <w:r>
        <w:rPr>
          <w:rFonts w:eastAsia="Times New Roman" w:cs="Arial" w:ascii="Arial" w:hAnsi="Arial"/>
          <w:b/>
          <w:bCs/>
          <w:lang w:eastAsia="en-GB"/>
        </w:rPr>
        <w:t>Hours:</w:t>
      </w:r>
      <w:r>
        <w:rPr>
          <w:rFonts w:eastAsia="Times New Roman" w:cs="Arial" w:ascii="Arial" w:hAnsi="Arial"/>
          <w:lang w:eastAsia="en-GB"/>
        </w:rPr>
        <w:t xml:space="preserve"> Full Time </w:t>
      </w:r>
    </w:p>
    <w:p>
      <w:pPr>
        <w:pStyle w:val="Normal"/>
        <w:spacing w:lineRule="auto" w:line="240" w:before="280" w:after="280"/>
        <w:ind w:left="720" w:right="0" w:hanging="0"/>
        <w:jc w:val="both"/>
        <w:rPr/>
      </w:pPr>
      <w:r>
        <w:rPr>
          <w:rFonts w:eastAsia="Times New Roman" w:cs="Arial" w:ascii="Arial" w:hAnsi="Arial"/>
          <w:b/>
          <w:bCs/>
          <w:lang w:eastAsia="en-GB"/>
        </w:rPr>
        <w:t>Contract:</w:t>
      </w:r>
      <w:r>
        <w:rPr>
          <w:rFonts w:eastAsia="Times New Roman" w:cs="Arial" w:ascii="Arial" w:hAnsi="Arial"/>
          <w:lang w:eastAsia="en-GB"/>
        </w:rPr>
        <w:t xml:space="preserve"> Permanent</w:t>
      </w:r>
    </w:p>
    <w:p>
      <w:pPr>
        <w:pStyle w:val="Normal"/>
        <w:spacing w:lineRule="auto" w:line="240" w:before="280" w:after="280"/>
        <w:ind w:left="720" w:right="0" w:hanging="0"/>
        <w:jc w:val="both"/>
        <w:rPr/>
      </w:pPr>
      <w:r>
        <w:rPr>
          <w:rFonts w:eastAsia="Times New Roman" w:cs="Arial" w:ascii="Arial" w:hAnsi="Arial"/>
          <w:b/>
          <w:bCs/>
          <w:lang w:eastAsia="en-GB"/>
        </w:rPr>
        <w:t>Reporting to:</w:t>
      </w:r>
      <w:r>
        <w:rPr>
          <w:rFonts w:eastAsia="Times New Roman" w:cs="Arial" w:ascii="Arial" w:hAnsi="Arial"/>
          <w:lang w:eastAsia="en-GB"/>
        </w:rPr>
        <w:t xml:space="preserve"> Governing Body</w:t>
      </w:r>
    </w:p>
    <w:p>
      <w:pPr>
        <w:pStyle w:val="Normal"/>
        <w:spacing w:lineRule="auto" w:line="240" w:before="280" w:after="280"/>
        <w:ind w:left="720" w:right="0" w:hanging="0"/>
        <w:jc w:val="both"/>
        <w:rPr/>
      </w:pPr>
      <w:r>
        <w:rPr>
          <w:rFonts w:eastAsia="Times New Roman" w:cs="Arial" w:ascii="Arial" w:hAnsi="Arial"/>
          <w:b/>
          <w:bCs/>
          <w:lang w:eastAsia="en-GB"/>
        </w:rPr>
        <w:t>Responsible for:</w:t>
      </w:r>
      <w:r>
        <w:rPr>
          <w:rFonts w:eastAsia="Times New Roman" w:cs="Arial" w:ascii="Arial" w:hAnsi="Arial"/>
          <w:lang w:eastAsia="en-GB"/>
        </w:rPr>
        <w:t xml:space="preserve"> All school-based staff and students</w:t>
      </w:r>
    </w:p>
    <w:p>
      <w:pPr>
        <w:pStyle w:val="Normal"/>
        <w:spacing w:lineRule="auto" w:line="240" w:before="280" w:after="280"/>
        <w:jc w:val="both"/>
        <w:rPr/>
      </w:pPr>
      <w:r>
        <w:rPr>
          <w:rStyle w:val="Emphasis"/>
          <w:rFonts w:cs="Arial" w:ascii="Arial" w:hAnsi="Arial"/>
          <w:shd w:fill="FFFFFF" w:val="clear"/>
        </w:rPr>
        <w:t>At Altrincham CE Primary, we are rooted in the love of Christ, nurturing each pupil’s unique gifts and potential. Together, we grow strong in faith and character, bearing fruit in our community as we learn, support one another, and blossom into the best version of ourselves.</w:t>
      </w:r>
    </w:p>
    <w:p>
      <w:pPr>
        <w:pStyle w:val="Normal"/>
        <w:spacing w:lineRule="auto" w:line="240" w:before="280" w:after="280"/>
        <w:jc w:val="both"/>
        <w:rPr/>
      </w:pPr>
      <w:r>
        <w:rPr>
          <w:rFonts w:eastAsia="Times New Roman" w:cs="Arial" w:ascii="Arial" w:hAnsi="Arial"/>
          <w:b/>
          <w:bCs/>
          <w:lang w:eastAsia="en-GB"/>
        </w:rPr>
        <w:t>Main Purpose of the Role</w:t>
      </w:r>
      <w:r>
        <w:rPr>
          <w:rFonts w:eastAsia="Times New Roman" w:cs="Arial" w:ascii="Arial" w:hAnsi="Arial"/>
          <w:lang w:eastAsia="en-GB"/>
        </w:rPr>
        <w:t xml:space="preserve"> </w:t>
      </w:r>
    </w:p>
    <w:p>
      <w:pPr>
        <w:pStyle w:val="Normal"/>
        <w:spacing w:lineRule="auto" w:line="240" w:before="280" w:after="280"/>
        <w:jc w:val="both"/>
        <w:rPr>
          <w:rFonts w:ascii="Arial" w:hAnsi="Arial" w:eastAsia="Times New Roman" w:cs="Arial"/>
          <w:lang w:eastAsia="en-GB"/>
        </w:rPr>
      </w:pPr>
      <w:r>
        <w:rPr>
          <w:rFonts w:eastAsia="Times New Roman" w:cs="Arial" w:ascii="Arial" w:hAnsi="Arial"/>
          <w:lang w:eastAsia="en-GB"/>
        </w:rPr>
        <w:t>The Head of School is the leading professional on-site, providing leadership and management to ensure the school’s objectives and strategic priorities are met. Distinct from a Deputy Headteacher, who works "under the direction of the Headteacher" to assist in formulating aims, the Head of School has overall responsibility for the smooth day-to-day running of the school, including its culture, ethos, and outcomes. In this Church of England setting, the Head of School will be the primary guardian of the school’s Christian character, ensuring that the faith-based vision is clearly articulated, shared, and acted upon by all.</w:t>
      </w:r>
    </w:p>
    <w:p>
      <w:pPr>
        <w:pStyle w:val="Normal"/>
        <w:spacing w:lineRule="auto" w:line="240" w:before="280" w:after="280"/>
        <w:jc w:val="both"/>
        <w:rPr>
          <w:rFonts w:ascii="Arial" w:hAnsi="Arial" w:eastAsia="Times New Roman" w:cs="Arial"/>
          <w:b/>
          <w:b/>
          <w:bCs/>
          <w:lang w:eastAsia="en-GB"/>
        </w:rPr>
      </w:pPr>
      <w:r>
        <w:rPr>
          <w:rFonts w:eastAsia="Times New Roman" w:cs="Arial" w:ascii="Arial" w:hAnsi="Arial"/>
          <w:b/>
          <w:bCs/>
          <w:lang w:eastAsia="en-GB"/>
        </w:rPr>
        <w:t>Key Responsibilities</w:t>
      </w:r>
    </w:p>
    <w:p>
      <w:pPr>
        <w:pStyle w:val="Normal"/>
        <w:spacing w:lineRule="auto" w:line="240" w:before="280" w:after="280"/>
        <w:jc w:val="both"/>
        <w:rPr>
          <w:rFonts w:ascii="Arial" w:hAnsi="Arial" w:eastAsia="Times New Roman" w:cs="Arial"/>
          <w:b/>
          <w:b/>
          <w:bCs/>
          <w:lang w:eastAsia="en-GB"/>
        </w:rPr>
      </w:pPr>
      <w:r>
        <w:rPr>
          <w:rFonts w:eastAsia="Times New Roman" w:cs="Arial" w:ascii="Arial" w:hAnsi="Arial"/>
          <w:b/>
          <w:bCs/>
          <w:lang w:eastAsia="en-GB"/>
        </w:rPr>
        <w:t>1. Faith, Vision, and Strategic Direction</w:t>
      </w:r>
    </w:p>
    <w:p>
      <w:pPr>
        <w:pStyle w:val="Normal"/>
        <w:numPr>
          <w:ilvl w:val="0"/>
          <w:numId w:val="1"/>
        </w:numPr>
        <w:spacing w:lineRule="auto" w:line="240" w:before="280" w:after="0"/>
        <w:jc w:val="both"/>
        <w:rPr>
          <w:rFonts w:ascii="Arial" w:hAnsi="Arial" w:eastAsia="Times New Roman" w:cs="Arial"/>
          <w:lang w:eastAsia="en-GB"/>
        </w:rPr>
      </w:pPr>
      <w:r>
        <w:rPr>
          <w:rFonts w:eastAsia="Times New Roman" w:cs="Arial" w:ascii="Arial" w:hAnsi="Arial"/>
          <w:lang w:eastAsia="en-GB"/>
        </w:rPr>
        <w:t xml:space="preserve">Lead the school as a faith-filled community, collaborating with the Diocese and local churches to sustain a distinctively Christian ethos </w:t>
      </w:r>
    </w:p>
    <w:p>
      <w:pPr>
        <w:pStyle w:val="Normal"/>
        <w:numPr>
          <w:ilvl w:val="0"/>
          <w:numId w:val="1"/>
        </w:numPr>
        <w:spacing w:lineRule="auto" w:line="240" w:before="0" w:after="0"/>
        <w:rPr/>
      </w:pPr>
      <w:r>
        <w:rPr>
          <w:rFonts w:eastAsia="Times New Roman" w:cs="Arial" w:ascii="Arial" w:hAnsi="Arial"/>
          <w:lang w:eastAsia="en-GB"/>
        </w:rPr>
        <w:t>‘</w:t>
      </w:r>
      <w:r>
        <w:rPr>
          <w:rFonts w:eastAsia="Times New Roman" w:cs="Arial" w:ascii="Arial" w:hAnsi="Arial"/>
          <w:lang w:eastAsia="en-GB"/>
        </w:rPr>
        <w:t>Lead by example’ and model the school’s values; imbuing moral and spiritual values into the daily life of the students and staff.</w:t>
      </w:r>
    </w:p>
    <w:p>
      <w:pPr>
        <w:pStyle w:val="Normal"/>
        <w:numPr>
          <w:ilvl w:val="0"/>
          <w:numId w:val="1"/>
        </w:numPr>
        <w:spacing w:lineRule="auto" w:line="240" w:before="0" w:after="0"/>
        <w:jc w:val="both"/>
        <w:rPr>
          <w:rFonts w:ascii="Arial" w:hAnsi="Arial" w:eastAsia="Times New Roman" w:cs="Arial"/>
          <w:lang w:eastAsia="en-GB"/>
        </w:rPr>
      </w:pPr>
      <w:r>
        <w:rPr>
          <w:rFonts w:eastAsia="Times New Roman" w:cs="Arial" w:ascii="Arial" w:hAnsi="Arial"/>
          <w:lang w:eastAsia="en-GB"/>
        </w:rPr>
        <w:t>Translate the school’s Christian vision into agreed objectives and operational plans that promote continual school improvement.</w:t>
      </w:r>
    </w:p>
    <w:p>
      <w:pPr>
        <w:pStyle w:val="Normal"/>
        <w:numPr>
          <w:ilvl w:val="0"/>
          <w:numId w:val="1"/>
        </w:numPr>
        <w:spacing w:lineRule="auto" w:line="240" w:before="0" w:after="0"/>
        <w:jc w:val="both"/>
        <w:rPr>
          <w:rFonts w:ascii="Arial" w:hAnsi="Arial" w:eastAsia="Times New Roman" w:cs="Arial"/>
          <w:lang w:eastAsia="en-GB"/>
        </w:rPr>
      </w:pPr>
      <w:r>
        <w:rPr>
          <w:rFonts w:eastAsia="Times New Roman" w:cs="Arial" w:ascii="Arial" w:hAnsi="Arial"/>
          <w:lang w:eastAsia="en-GB"/>
        </w:rPr>
        <w:t>Serve as the chief ambassador for the school, representing its values to parents, the community, and external agencies.</w:t>
      </w:r>
    </w:p>
    <w:p>
      <w:pPr>
        <w:pStyle w:val="Normal"/>
        <w:numPr>
          <w:ilvl w:val="0"/>
          <w:numId w:val="1"/>
        </w:numPr>
        <w:spacing w:lineRule="auto" w:line="240" w:before="0" w:after="0"/>
        <w:jc w:val="both"/>
        <w:rPr>
          <w:rFonts w:ascii="Arial" w:hAnsi="Arial" w:eastAsia="Times New Roman" w:cs="Arial"/>
          <w:lang w:eastAsia="en-GB"/>
        </w:rPr>
      </w:pPr>
      <w:r>
        <w:rPr>
          <w:rFonts w:eastAsia="Times New Roman" w:cs="Arial" w:ascii="Arial" w:hAnsi="Arial"/>
          <w:lang w:eastAsia="en-GB"/>
        </w:rPr>
        <w:t>Lead on the School Improvement Plan (SIP) and Self-Evaluation Form (SEF), taking accountability for key performance indicators.</w:t>
      </w:r>
    </w:p>
    <w:p>
      <w:pPr>
        <w:pStyle w:val="Normal"/>
        <w:numPr>
          <w:ilvl w:val="0"/>
          <w:numId w:val="1"/>
        </w:numPr>
        <w:spacing w:lineRule="auto" w:line="240" w:before="0" w:after="280"/>
        <w:jc w:val="both"/>
        <w:rPr>
          <w:rFonts w:ascii="Arial" w:hAnsi="Arial" w:eastAsia="Times New Roman" w:cs="Arial"/>
          <w:lang w:eastAsia="en-GB"/>
        </w:rPr>
      </w:pPr>
      <w:r>
        <w:rPr>
          <w:rFonts w:eastAsia="Times New Roman" w:cs="Arial" w:ascii="Arial" w:hAnsi="Arial"/>
          <w:lang w:eastAsia="en-GB"/>
        </w:rPr>
        <w:t>Identify areas of progression and promotion for staff that support succession planning for the school</w:t>
      </w:r>
    </w:p>
    <w:p>
      <w:pPr>
        <w:pStyle w:val="Normal"/>
        <w:spacing w:lineRule="auto" w:line="240" w:before="280" w:after="280"/>
        <w:jc w:val="both"/>
        <w:rPr>
          <w:rFonts w:ascii="Arial" w:hAnsi="Arial" w:eastAsia="Times New Roman" w:cs="Arial"/>
          <w:b/>
          <w:b/>
          <w:bCs/>
          <w:lang w:eastAsia="en-GB"/>
        </w:rPr>
      </w:pPr>
      <w:r>
        <w:rPr>
          <w:rFonts w:eastAsia="Times New Roman" w:cs="Arial" w:ascii="Arial" w:hAnsi="Arial"/>
          <w:b/>
          <w:bCs/>
          <w:lang w:eastAsia="en-GB"/>
        </w:rPr>
        <w:t>2. Leading Learning and Teaching</w:t>
      </w:r>
    </w:p>
    <w:p>
      <w:pPr>
        <w:pStyle w:val="Normal"/>
        <w:numPr>
          <w:ilvl w:val="0"/>
          <w:numId w:val="2"/>
        </w:numPr>
        <w:spacing w:lineRule="auto" w:line="240" w:before="280" w:after="0"/>
        <w:jc w:val="both"/>
        <w:rPr>
          <w:rFonts w:ascii="Arial" w:hAnsi="Arial" w:eastAsia="Times New Roman" w:cs="Arial"/>
          <w:lang w:eastAsia="en-GB"/>
        </w:rPr>
      </w:pPr>
      <w:r>
        <w:rPr>
          <w:rFonts w:eastAsia="Times New Roman" w:cs="Arial" w:ascii="Arial" w:hAnsi="Arial"/>
          <w:lang w:eastAsia="en-GB"/>
        </w:rPr>
        <w:t>Take overall responsibility for the quality of education, ensuring a rigorous, broad, and structured curriculum that meets the needs of all pupils.</w:t>
      </w:r>
    </w:p>
    <w:p>
      <w:pPr>
        <w:pStyle w:val="Normal"/>
        <w:numPr>
          <w:ilvl w:val="0"/>
          <w:numId w:val="2"/>
        </w:numPr>
        <w:spacing w:lineRule="auto" w:line="240" w:before="0" w:after="0"/>
        <w:jc w:val="both"/>
        <w:rPr>
          <w:rFonts w:ascii="Arial" w:hAnsi="Arial" w:eastAsia="Times New Roman" w:cs="Arial"/>
          <w:lang w:eastAsia="en-GB"/>
        </w:rPr>
      </w:pPr>
      <w:r>
        <w:rPr>
          <w:rFonts w:eastAsia="Times New Roman" w:cs="Arial" w:ascii="Arial" w:hAnsi="Arial"/>
          <w:lang w:eastAsia="en-GB"/>
        </w:rPr>
        <w:t>Quality assure teaching through high-quality performance management systems, challenging underperformance at all levels.</w:t>
      </w:r>
    </w:p>
    <w:p>
      <w:pPr>
        <w:pStyle w:val="Normal"/>
        <w:numPr>
          <w:ilvl w:val="0"/>
          <w:numId w:val="2"/>
        </w:numPr>
        <w:spacing w:lineRule="auto" w:line="240" w:before="0" w:after="0"/>
        <w:jc w:val="both"/>
        <w:rPr>
          <w:rFonts w:ascii="Arial" w:hAnsi="Arial" w:eastAsia="Times New Roman" w:cs="Arial"/>
          <w:lang w:eastAsia="en-GB"/>
        </w:rPr>
      </w:pPr>
      <w:r>
        <w:rPr>
          <w:rFonts w:eastAsia="Times New Roman" w:cs="Arial" w:ascii="Arial" w:hAnsi="Arial"/>
          <w:lang w:eastAsia="en-GB"/>
        </w:rPr>
        <w:t>Ensure that valid and reliable approaches to assessment are used to monitor student progress and drive improved outcomes.</w:t>
      </w:r>
    </w:p>
    <w:p>
      <w:pPr>
        <w:pStyle w:val="Normal"/>
        <w:numPr>
          <w:ilvl w:val="0"/>
          <w:numId w:val="2"/>
        </w:numPr>
        <w:spacing w:lineRule="auto" w:line="240" w:before="0" w:after="280"/>
        <w:jc w:val="both"/>
        <w:rPr>
          <w:rFonts w:ascii="Arial" w:hAnsi="Arial" w:eastAsia="Times New Roman" w:cs="Arial"/>
          <w:lang w:eastAsia="en-GB"/>
        </w:rPr>
      </w:pPr>
      <w:r>
        <w:rPr>
          <w:rFonts w:eastAsia="Times New Roman" w:cs="Arial" w:ascii="Arial" w:hAnsi="Arial"/>
          <w:lang w:eastAsia="en-GB"/>
        </w:rPr>
        <w:t>Act as an expert teacher and role model, maintaining a commitment to a knowledge-rich and immersive curriculum.</w:t>
      </w:r>
    </w:p>
    <w:p>
      <w:pPr>
        <w:pStyle w:val="Normal"/>
        <w:spacing w:lineRule="auto" w:line="240" w:before="280" w:after="280"/>
        <w:jc w:val="both"/>
        <w:rPr/>
      </w:pPr>
      <w:r>
        <w:rPr>
          <w:rFonts w:eastAsia="Times New Roman" w:cs="Times New Roman" w:ascii="Times New Roman" w:hAnsi="Times New Roman"/>
          <w:b/>
          <w:bCs/>
          <w:lang w:eastAsia="en-GB"/>
        </w:rPr>
        <w:t>3</w:t>
      </w:r>
      <w:r>
        <w:rPr>
          <w:rFonts w:eastAsia="Times New Roman" w:cs="Arial" w:ascii="Arial" w:hAnsi="Arial"/>
          <w:b/>
          <w:bCs/>
          <w:lang w:eastAsia="en-GB"/>
        </w:rPr>
        <w:t>. Organisational and Community Leadership</w:t>
      </w:r>
    </w:p>
    <w:p>
      <w:pPr>
        <w:pStyle w:val="Normal"/>
        <w:numPr>
          <w:ilvl w:val="0"/>
          <w:numId w:val="3"/>
        </w:numPr>
        <w:spacing w:lineRule="auto" w:line="240" w:before="280" w:after="0"/>
        <w:jc w:val="both"/>
        <w:rPr>
          <w:rFonts w:ascii="Arial" w:hAnsi="Arial" w:eastAsia="Times New Roman" w:cs="Arial"/>
          <w:lang w:eastAsia="en-GB"/>
        </w:rPr>
      </w:pPr>
      <w:r>
        <w:rPr>
          <w:rFonts w:eastAsia="Times New Roman" w:cs="Arial" w:ascii="Arial" w:hAnsi="Arial"/>
          <w:lang w:eastAsia="en-GB"/>
        </w:rPr>
        <w:t>Be the most senior point of contact for parents and stakeholders regarding the school’s effectiveness.</w:t>
      </w:r>
    </w:p>
    <w:p>
      <w:pPr>
        <w:pStyle w:val="Normal"/>
        <w:numPr>
          <w:ilvl w:val="0"/>
          <w:numId w:val="3"/>
        </w:numPr>
        <w:spacing w:lineRule="auto" w:line="240" w:before="0" w:after="0"/>
        <w:jc w:val="both"/>
        <w:rPr>
          <w:rFonts w:ascii="Arial" w:hAnsi="Arial" w:eastAsia="Times New Roman" w:cs="Arial"/>
          <w:lang w:eastAsia="en-GB"/>
        </w:rPr>
      </w:pPr>
      <w:r>
        <w:rPr>
          <w:rFonts w:eastAsia="Times New Roman" w:cs="Arial" w:ascii="Arial" w:hAnsi="Arial"/>
          <w:lang w:eastAsia="en-GB"/>
        </w:rPr>
        <w:t>Create a safe, healthy, and purposeful environment, assuming the role of Senior Designated Safeguarding Lead (DSL).</w:t>
      </w:r>
    </w:p>
    <w:p>
      <w:pPr>
        <w:pStyle w:val="Normal"/>
        <w:numPr>
          <w:ilvl w:val="0"/>
          <w:numId w:val="3"/>
        </w:numPr>
        <w:spacing w:lineRule="auto" w:line="240" w:before="0" w:after="0"/>
        <w:jc w:val="both"/>
        <w:rPr>
          <w:rFonts w:ascii="Arial" w:hAnsi="Arial" w:eastAsia="Times New Roman" w:cs="Arial"/>
          <w:lang w:eastAsia="en-GB"/>
        </w:rPr>
      </w:pPr>
      <w:r>
        <w:rPr>
          <w:rFonts w:eastAsia="Times New Roman" w:cs="Arial" w:ascii="Arial" w:hAnsi="Arial"/>
          <w:lang w:eastAsia="en-GB"/>
        </w:rPr>
        <w:t>Manage the school’s financial and human resources efficiently, ensuring value for money and sustainability.</w:t>
      </w:r>
    </w:p>
    <w:p>
      <w:pPr>
        <w:pStyle w:val="Normal"/>
        <w:numPr>
          <w:ilvl w:val="0"/>
          <w:numId w:val="3"/>
        </w:numPr>
        <w:spacing w:lineRule="auto" w:line="240" w:before="0" w:after="280"/>
        <w:jc w:val="both"/>
        <w:rPr>
          <w:rFonts w:ascii="Arial" w:hAnsi="Arial" w:eastAsia="Times New Roman" w:cs="Arial"/>
          <w:lang w:eastAsia="en-GB"/>
        </w:rPr>
      </w:pPr>
      <w:r>
        <w:rPr>
          <w:rFonts w:eastAsia="Times New Roman" w:cs="Arial" w:ascii="Arial" w:hAnsi="Arial"/>
          <w:lang w:eastAsia="en-GB"/>
        </w:rPr>
        <w:t>Develop a successful leadership culture where staff are empowered to carry out their roles effectively.</w:t>
      </w:r>
    </w:p>
    <w:p>
      <w:pPr>
        <w:pStyle w:val="Normal"/>
        <w:spacing w:lineRule="auto" w:line="240" w:before="280" w:after="280"/>
        <w:jc w:val="both"/>
        <w:rPr/>
      </w:pPr>
      <w:r>
        <w:rPr>
          <w:rFonts w:eastAsia="Times New Roman" w:cs="Times New Roman" w:ascii="Times New Roman" w:hAnsi="Times New Roman"/>
          <w:b/>
          <w:bCs/>
          <w:lang w:eastAsia="en-GB"/>
        </w:rPr>
        <w:t xml:space="preserve">4. </w:t>
      </w:r>
      <w:r>
        <w:rPr>
          <w:rFonts w:eastAsia="Times New Roman" w:cs="Arial" w:ascii="Arial" w:hAnsi="Arial"/>
          <w:b/>
          <w:bCs/>
          <w:lang w:eastAsia="en-GB"/>
        </w:rPr>
        <w:t>Accountability</w:t>
      </w:r>
    </w:p>
    <w:p>
      <w:pPr>
        <w:pStyle w:val="Normal"/>
        <w:numPr>
          <w:ilvl w:val="0"/>
          <w:numId w:val="4"/>
        </w:numPr>
        <w:spacing w:lineRule="auto" w:line="240" w:before="280" w:after="0"/>
        <w:jc w:val="both"/>
        <w:rPr/>
      </w:pPr>
      <w:r>
        <w:rPr>
          <w:rFonts w:eastAsia="Times New Roman" w:cs="Arial" w:ascii="Arial" w:hAnsi="Arial"/>
          <w:lang w:eastAsia="en-GB"/>
        </w:rPr>
        <w:t>Present a coherent and accurate account of school performance to the Governing Body,</w:t>
      </w:r>
      <w:bookmarkStart w:id="0" w:name="_GoBack"/>
      <w:bookmarkEnd w:id="0"/>
      <w:r>
        <w:rPr>
          <w:rFonts w:eastAsia="Times New Roman" w:cs="Arial" w:ascii="Arial" w:hAnsi="Arial"/>
          <w:lang w:eastAsia="en-GB"/>
        </w:rPr>
        <w:t>SIAMs and Ofsted.</w:t>
      </w:r>
    </w:p>
    <w:p>
      <w:pPr>
        <w:pStyle w:val="Normal"/>
        <w:numPr>
          <w:ilvl w:val="0"/>
          <w:numId w:val="4"/>
        </w:numPr>
        <w:spacing w:lineRule="auto" w:line="240" w:before="0" w:after="0"/>
        <w:jc w:val="both"/>
        <w:rPr>
          <w:rFonts w:ascii="Arial" w:hAnsi="Arial" w:eastAsia="Times New Roman" w:cs="Arial"/>
          <w:lang w:eastAsia="en-GB"/>
        </w:rPr>
      </w:pPr>
      <w:r>
        <w:rPr>
          <w:rFonts w:eastAsia="Times New Roman" w:cs="Arial" w:ascii="Arial" w:hAnsi="Arial"/>
          <w:lang w:eastAsia="en-GB"/>
        </w:rPr>
        <w:t>Ensure the school operates effectively within regulatory frameworks and meets all statutory duties, including those related to the SEND code of practice.</w:t>
      </w:r>
    </w:p>
    <w:p>
      <w:pPr>
        <w:pStyle w:val="Normal"/>
        <w:numPr>
          <w:ilvl w:val="0"/>
          <w:numId w:val="4"/>
        </w:numPr>
        <w:spacing w:lineRule="auto" w:line="240" w:before="0" w:after="280"/>
        <w:jc w:val="both"/>
        <w:rPr>
          <w:rFonts w:ascii="Arial" w:hAnsi="Arial" w:eastAsia="Times New Roman" w:cs="Arial"/>
          <w:lang w:eastAsia="en-GB"/>
        </w:rPr>
      </w:pPr>
      <w:r>
        <w:rPr>
          <w:rFonts w:eastAsia="Times New Roman" w:cs="Arial" w:ascii="Arial" w:hAnsi="Arial"/>
          <w:lang w:eastAsia="en-GB"/>
        </w:rPr>
        <w:t>Oversee the school’s approach to online safety, ensuring appropriate filtering and monitoring systems are in place and that all staff understand their roles in managing online risk</w:t>
      </w:r>
    </w:p>
    <w:p>
      <w:pPr>
        <w:pStyle w:val="Normal"/>
        <w:spacing w:lineRule="auto" w:line="240" w:before="0" w:after="0"/>
        <w:jc w:val="both"/>
        <w:rPr>
          <w:rFonts w:ascii="Arial" w:hAnsi="Arial" w:eastAsia="Times New Roman" w:cs="Arial"/>
          <w:b/>
          <w:b/>
          <w:bCs/>
          <w:lang w:eastAsia="en-GB"/>
        </w:rPr>
      </w:pPr>
      <w:r>
        <w:rPr/>
        <mc:AlternateContent>
          <mc:Choice Requires="wps">
            <w:drawing>
              <wp:inline distT="0" distB="0" distL="0" distR="0">
                <wp:extent cx="5732145" cy="19685"/>
                <wp:effectExtent l="0" t="0" r="0" b="0"/>
                <wp:docPr id="3" name=""/>
                <a:graphic xmlns:a="http://schemas.openxmlformats.org/drawingml/2006/main">
                  <a:graphicData uri="http://schemas.microsoft.com/office/word/2010/wordprocessingShape">
                    <wps:wsp>
                      <wps:cNvSpPr/>
                      <wps:spPr>
                        <a:xfrm>
                          <a:off x="0" y="0"/>
                          <a:ext cx="5731560" cy="19080"/>
                        </a:xfrm>
                        <a:prstGeom prst="rect">
                          <a:avLst/>
                        </a:prstGeom>
                        <a:solidFill>
                          <a:srgbClr val="a0a0a0"/>
                        </a:solidFill>
                        <a:ln>
                          <a:noFill/>
                        </a:ln>
                      </wps:spPr>
                      <wps:style>
                        <a:lnRef idx="0"/>
                        <a:fillRef idx="0"/>
                        <a:effectRef idx="0"/>
                        <a:fontRef idx="minor"/>
                      </wps:style>
                      <wps:bodyPr/>
                    </wps:wsp>
                  </a:graphicData>
                </a:graphic>
              </wp:inline>
            </w:drawing>
          </mc:Choice>
          <mc:Fallback>
            <w:pict>
              <v:rect id="shape_0" fillcolor="#a0a0a0" stroked="f" style="position:absolute;margin-left:0pt;margin-top:0pt;width:451.25pt;height:1.45pt;mso-position-horizontal-relative:char">
                <w10:wrap type="none"/>
                <v:fill o:detectmouseclick="t" type="solid" color2="#5f5f5f"/>
                <v:stroke color="#3465a4" joinstyle="round" endcap="flat"/>
              </v:rect>
            </w:pict>
          </mc:Fallback>
        </mc:AlternateContent>
      </w:r>
    </w:p>
    <w:p>
      <w:pPr>
        <w:pStyle w:val="Normal"/>
        <w:spacing w:lineRule="auto" w:line="240" w:before="280" w:after="280"/>
        <w:rPr>
          <w:rFonts w:ascii="Arial" w:hAnsi="Arial" w:eastAsia="Times New Roman" w:cs="Arial"/>
          <w:b/>
          <w:b/>
          <w:bCs/>
          <w:lang w:eastAsia="en-GB"/>
        </w:rPr>
      </w:pPr>
      <w:r>
        <w:rPr>
          <w:rFonts w:eastAsia="Times New Roman" w:cs="Arial" w:ascii="Arial" w:hAnsi="Arial"/>
          <w:b/>
          <w:bCs/>
          <w:lang w:eastAsia="en-GB"/>
        </w:rPr>
        <w:t>Person Specification: Head of School</w:t>
      </w:r>
    </w:p>
    <w:tbl>
      <w:tblPr>
        <w:tblW w:w="9026" w:type="dxa"/>
        <w:jc w:val="left"/>
        <w:tblInd w:w="0" w:type="dxa"/>
        <w:tblCellMar>
          <w:top w:w="15" w:type="dxa"/>
          <w:left w:w="15" w:type="dxa"/>
          <w:bottom w:w="15" w:type="dxa"/>
          <w:right w:w="15" w:type="dxa"/>
        </w:tblCellMar>
      </w:tblPr>
      <w:tblGrid>
        <w:gridCol w:w="1772"/>
        <w:gridCol w:w="5160"/>
        <w:gridCol w:w="2094"/>
      </w:tblGrid>
      <w:tr>
        <w:trPr/>
        <w:tc>
          <w:tcPr>
            <w:tcW w:w="1772" w:type="dxa"/>
            <w:tcBorders/>
            <w:shd w:fill="auto" w:val="clear"/>
            <w:vAlign w:val="cente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Criteria</w:t>
            </w:r>
          </w:p>
        </w:tc>
        <w:tc>
          <w:tcPr>
            <w:tcW w:w="5160" w:type="dxa"/>
            <w:tcBorders/>
            <w:shd w:fill="auto" w:val="clear"/>
            <w:vAlign w:val="cente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Requirements</w:t>
            </w:r>
          </w:p>
        </w:tc>
        <w:tc>
          <w:tcPr>
            <w:tcW w:w="2094" w:type="dxa"/>
            <w:tcBorders/>
            <w:shd w:fill="auto" w:val="clear"/>
            <w:vAlign w:val="cente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Essential/Desirable</w:t>
            </w:r>
          </w:p>
        </w:tc>
      </w:tr>
      <w:tr>
        <w:trPr/>
        <w:tc>
          <w:tcPr>
            <w:tcW w:w="1772" w:type="dxa"/>
            <w:tcBorders/>
            <w:shd w:fill="auto" w:val="clear"/>
            <w:vAlign w:val="cente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Qualifications</w:t>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Qualified Teacher Status (QTS) and Degree</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NPQH, NPQSL or evidence of significant accredited leadership training</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D</w:t>
            </w:r>
          </w:p>
        </w:tc>
      </w:tr>
      <w:tr>
        <w:trPr/>
        <w:tc>
          <w:tcPr>
            <w:tcW w:w="1772" w:type="dxa"/>
            <w:tcBorders/>
            <w:shd w:fill="auto" w:val="clear"/>
            <w:vAlign w:val="cente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Experience</w:t>
            </w:r>
          </w:p>
        </w:tc>
        <w:tc>
          <w:tcPr>
            <w:tcW w:w="5160" w:type="dxa"/>
            <w:tcBorders/>
            <w:shd w:fill="auto" w:val="clear"/>
            <w:vAlign w:val="center"/>
          </w:tcPr>
          <w:p>
            <w:pPr>
              <w:pStyle w:val="Normal"/>
              <w:spacing w:lineRule="auto" w:line="240" w:before="0" w:after="0"/>
              <w:rPr/>
            </w:pPr>
            <w:r>
              <w:rPr>
                <w:rFonts w:eastAsia="Times New Roman" w:cs="Arial" w:ascii="Arial" w:hAnsi="Arial"/>
                <w:lang w:eastAsia="en-GB"/>
              </w:rPr>
              <w:t>Substantial leadership experience as a Senior Leader, Assistant Head,</w:t>
            </w:r>
            <w:r>
              <w:rPr>
                <w:rFonts w:eastAsia="Times New Roman" w:cs="Arial" w:ascii="Arial" w:hAnsi="Arial"/>
                <w:b/>
                <w:bCs/>
                <w:lang w:eastAsia="en-GB"/>
              </w:rPr>
              <w:t xml:space="preserve"> </w:t>
            </w:r>
            <w:r>
              <w:rPr>
                <w:rFonts w:eastAsia="Times New Roman" w:cs="Arial" w:ascii="Arial" w:hAnsi="Arial"/>
                <w:lang w:eastAsia="en-GB"/>
              </w:rPr>
              <w:t>Deputy Head or Head of School</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Proven track record of initiating and delivering whole-school improvement</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Experience of teaching within a primary setting with diverse needs</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Knowledge</w:t>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Robust knowledge of statutory safeguarding guidance (KCSIE)</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Understanding of financial regulations and effective budget monitoring</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Understanding of the SIAMS framework and CE school requirements</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Skills</w:t>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Ability to think strategically and plan effectively in the long term</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Exceptional interpersonal skills with high emotional intelligence</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Data analysis skills to monitor, evaluate, and review decisions</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pacing w:lineRule="auto" w:line="240" w:before="0" w:after="0"/>
              <w:rPr>
                <w:rFonts w:ascii="Arial" w:hAnsi="Arial" w:eastAsia="Times New Roman" w:cs="Arial"/>
                <w:b/>
                <w:b/>
                <w:bCs/>
                <w:lang w:eastAsia="en-GB"/>
              </w:rPr>
            </w:pPr>
            <w:r>
              <w:rPr>
                <w:rFonts w:eastAsia="Times New Roman" w:cs="Arial" w:ascii="Arial" w:hAnsi="Arial"/>
                <w:b/>
                <w:bCs/>
                <w:lang w:eastAsia="en-GB"/>
              </w:rPr>
              <w:t>Personal Attributes</w:t>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Passionate about education and a commitment to inclusion</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Ability to inspire and motivate a school community towards a shared vision</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Resilient, energetic, and able to work under pressure</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r>
        <w:trPr/>
        <w:tc>
          <w:tcPr>
            <w:tcW w:w="1772" w:type="dxa"/>
            <w:tcBorders/>
            <w:shd w:fill="auto" w:val="clear"/>
            <w:vAlign w:val="center"/>
          </w:tcPr>
          <w:p>
            <w:pPr>
              <w:pStyle w:val="Normal"/>
              <w:snapToGrid w:val="false"/>
              <w:spacing w:lineRule="auto" w:line="240" w:before="0" w:after="0"/>
              <w:rPr>
                <w:rFonts w:ascii="Arial" w:hAnsi="Arial" w:eastAsia="Times New Roman" w:cs="Arial"/>
                <w:lang w:eastAsia="en-GB"/>
              </w:rPr>
            </w:pPr>
            <w:r>
              <w:rPr>
                <w:rFonts w:eastAsia="Times New Roman" w:cs="Arial" w:ascii="Arial" w:hAnsi="Arial"/>
                <w:lang w:eastAsia="en-GB"/>
              </w:rPr>
            </w:r>
          </w:p>
        </w:tc>
        <w:tc>
          <w:tcPr>
            <w:tcW w:w="5160"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Unwavering professional integrity and confidentiality</w:t>
            </w:r>
          </w:p>
        </w:tc>
        <w:tc>
          <w:tcPr>
            <w:tcW w:w="2094" w:type="dxa"/>
            <w:tcBorders/>
            <w:shd w:fill="auto" w:val="clear"/>
            <w:vAlign w:val="cente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E</w:t>
            </w:r>
          </w:p>
        </w:tc>
      </w:tr>
    </w:tbl>
    <w:p>
      <w:pPr>
        <w:pStyle w:val="Normal"/>
        <w:spacing w:lineRule="auto" w:line="240" w:before="280" w:after="280"/>
        <w:rPr>
          <w:rFonts w:ascii="Arial" w:hAnsi="Arial" w:eastAsia="Times New Roman" w:cs="Arial"/>
          <w:i/>
          <w:i/>
          <w:iCs/>
          <w:lang w:eastAsia="en-GB"/>
        </w:rPr>
      </w:pPr>
      <w:r>
        <w:rPr>
          <w:rFonts w:eastAsia="Times New Roman" w:cs="Arial" w:ascii="Arial" w:hAnsi="Arial"/>
          <w:i/>
          <w:iCs/>
          <w:lang w:eastAsia="en-GB"/>
        </w:rPr>
        <w:t>This role requires an Enhanced DBS check and a commitment to promoting the welfare of children.</w:t>
      </w:r>
    </w:p>
    <w:p>
      <w:pPr>
        <w:pStyle w:val="Normal"/>
        <w:widowControl/>
        <w:bidi w:val="0"/>
        <w:spacing w:lineRule="auto" w:line="256" w:before="0" w:after="160"/>
        <w:jc w:val="left"/>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lang w:eastAsia="en-GB"/>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4">
    <w:lvl w:ilvl="0">
      <w:start w:val="1"/>
      <w:numFmt w:val="bullet"/>
      <w:lvlText w:val=""/>
      <w:lvlJc w:val="left"/>
      <w:pPr>
        <w:tabs>
          <w:tab w:val="num" w:pos="720"/>
        </w:tabs>
        <w:ind w:left="720" w:hanging="360"/>
      </w:pPr>
      <w:rPr>
        <w:rFonts w:ascii="Symbol" w:hAnsi="Symbol" w:cs="Symbol" w:hint="default"/>
        <w:sz w:val="20"/>
        <w:rFonts w:cs="Symbol"/>
        <w:lang w:eastAsia="en-GB"/>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eastAsia="Times New Roman" w:cs="Symbol"/>
      <w:sz w:val="20"/>
      <w:lang w:eastAsia="en-GB"/>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Symbol" w:hAnsi="Symbol" w:eastAsia="Times New Roman" w:cs="Symbol"/>
      <w:sz w:val="20"/>
      <w:lang w:eastAsia="en-GB"/>
    </w:rPr>
  </w:style>
  <w:style w:type="character" w:styleId="WW8Num4z1">
    <w:name w:val="WW8Num4z1"/>
    <w:qFormat/>
    <w:rPr>
      <w:rFonts w:ascii="Courier New" w:hAnsi="Courier New" w:cs="Courier New"/>
      <w:sz w:val="20"/>
    </w:rPr>
  </w:style>
  <w:style w:type="character" w:styleId="WW8Num4z2">
    <w:name w:val="WW8Num4z2"/>
    <w:qFormat/>
    <w:rPr>
      <w:rFonts w:ascii="Wingdings" w:hAnsi="Wingdings" w:cs="Wingdings"/>
      <w:sz w:val="20"/>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Bowdon Church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2026-05-13T15:15:00Z</dcterms:created>
  <dc:creator>Head</dc:creator>
  <dc:description/>
  <dc:language>en-US</dc:language>
  <cp:lastModifiedBy>Samantha Halliwell</cp:lastModifiedBy>
  <cp:lastPrinted>1995-11-21T17:41:00Z</cp:lastPrinted>
  <dcterms:modified xsi:type="dcterms:W3CDTF">2026-05-13T15:15:00Z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Bowdon Church School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