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pBdr>
          <w:top w:val="single" w:sz="4" w:space="10" w:color="000000"/>
          <w:left w:val="single" w:sz="4" w:space="10" w:color="000000"/>
          <w:bottom w:val="single" w:sz="4" w:space="10" w:color="000000"/>
          <w:right w:val="single" w:sz="4" w:space="10" w:color="000000"/>
        </w:pBdr>
        <w:shd w:fill="004F6E" w:val="clear"/>
        <w:spacing w:lineRule="auto" w:line="240" w:before="0" w:after="240"/>
        <w:jc w:val="center"/>
        <w:rPr>
          <w:rFonts w:eastAsia="Calibri" w:cs="Arial"/>
          <w:b/>
          <w:b/>
          <w:bCs/>
          <w:color w:val="FFFFFF"/>
          <w:kern w:val="0"/>
          <w:sz w:val="24"/>
          <w:szCs w:val="24"/>
        </w:rPr>
      </w:pPr>
      <w:r>
        <w:rPr>
          <w:rFonts w:eastAsia="Calibri" w:cs="Arial"/>
          <w:b/>
          <w:bCs/>
          <w:color w:val="FFFFFF"/>
          <w:kern w:val="0"/>
          <w:sz w:val="24"/>
          <w:szCs w:val="24"/>
        </w:rPr>
        <w:t>Role profile</w:t>
      </w:r>
    </w:p>
    <w:p>
      <w:pPr>
        <w:pStyle w:val="Normal"/>
        <w:widowControl w:val="false"/>
        <w:pBdr>
          <w:top w:val="single" w:sz="4" w:space="10" w:color="000000"/>
          <w:left w:val="single" w:sz="4" w:space="10" w:color="000000"/>
          <w:bottom w:val="single" w:sz="4" w:space="10" w:color="000000"/>
          <w:right w:val="single" w:sz="4" w:space="10" w:color="000000"/>
        </w:pBdr>
        <w:shd w:fill="004F6E" w:val="clear"/>
        <w:spacing w:lineRule="auto" w:line="240" w:before="0" w:after="240"/>
        <w:jc w:val="center"/>
        <w:rPr>
          <w:rFonts w:eastAsia="Calibri" w:cs="Arial"/>
          <w:b/>
          <w:b/>
          <w:bCs/>
          <w:color w:val="FFFFFF"/>
          <w:kern w:val="0"/>
          <w:sz w:val="24"/>
          <w:szCs w:val="24"/>
        </w:rPr>
      </w:pPr>
      <w:r>
        <w:rPr>
          <w:rFonts w:eastAsia="Calibri" w:cs="Arial"/>
          <w:b/>
          <w:bCs/>
          <w:color w:val="FFFFFF"/>
          <w:kern w:val="0"/>
          <w:sz w:val="24"/>
          <w:szCs w:val="24"/>
        </w:rPr>
        <w:t>Group Director of Financial Control (Group)</w:t>
      </w:r>
    </w:p>
    <w:p>
      <w:pPr>
        <w:pStyle w:val="Normal"/>
        <w:widowControl w:val="false"/>
        <w:numPr>
          <w:ilvl w:val="0"/>
          <w:numId w:val="2"/>
        </w:numPr>
        <w:spacing w:lineRule="auto" w:line="240" w:before="60" w:after="0"/>
        <w:rPr/>
      </w:pPr>
      <w:r>
        <w:rPr>
          <w:rFonts w:eastAsia="Calibri" w:cs="Arial"/>
          <w:b/>
          <w:bCs/>
          <w:color w:val="262626"/>
          <w:kern w:val="0"/>
          <w:sz w:val="24"/>
          <w:szCs w:val="24"/>
        </w:rPr>
        <w:t>Job title</w:t>
      </w:r>
      <w:r>
        <w:rPr>
          <w:rFonts w:eastAsia="Calibri" w:cs="Arial"/>
          <w:color w:val="262626"/>
          <w:kern w:val="0"/>
          <w:sz w:val="24"/>
          <w:szCs w:val="24"/>
        </w:rPr>
        <w:t>: Group Director of Financial Control (Group)</w:t>
      </w:r>
    </w:p>
    <w:p>
      <w:pPr>
        <w:pStyle w:val="Normal"/>
        <w:widowControl w:val="false"/>
        <w:numPr>
          <w:ilvl w:val="0"/>
          <w:numId w:val="2"/>
        </w:numPr>
        <w:spacing w:lineRule="auto" w:line="240" w:before="60" w:after="0"/>
        <w:rPr/>
      </w:pPr>
      <w:r>
        <w:rPr>
          <w:rFonts w:eastAsia="Calibri" w:cs="Arial"/>
          <w:b/>
          <w:bCs/>
          <w:color w:val="262626"/>
          <w:kern w:val="0"/>
          <w:sz w:val="24"/>
          <w:szCs w:val="24"/>
        </w:rPr>
        <w:t>Grade:</w:t>
      </w:r>
      <w:r>
        <w:rPr>
          <w:rFonts w:eastAsia="Calibri" w:cs="Arial"/>
          <w:color w:val="262626"/>
          <w:kern w:val="0"/>
          <w:sz w:val="24"/>
          <w:szCs w:val="24"/>
        </w:rPr>
        <w:t xml:space="preserve"> SM3 (Subject to Job Evaluation)</w:t>
      </w:r>
    </w:p>
    <w:p>
      <w:pPr>
        <w:pStyle w:val="Normal"/>
        <w:widowControl w:val="false"/>
        <w:numPr>
          <w:ilvl w:val="0"/>
          <w:numId w:val="2"/>
        </w:numPr>
        <w:spacing w:lineRule="auto" w:line="240" w:before="60" w:after="0"/>
        <w:rPr/>
      </w:pPr>
      <w:r>
        <w:rPr>
          <w:rFonts w:eastAsia="Calibri" w:cs="Arial"/>
          <w:b/>
          <w:bCs/>
          <w:color w:val="262626"/>
          <w:kern w:val="0"/>
          <w:sz w:val="24"/>
          <w:szCs w:val="24"/>
        </w:rPr>
        <w:t xml:space="preserve">Business area: </w:t>
      </w:r>
      <w:r>
        <w:rPr>
          <w:rFonts w:eastAsia="Calibri" w:cs="Arial"/>
          <w:color w:val="262626"/>
          <w:kern w:val="0"/>
          <w:sz w:val="24"/>
          <w:szCs w:val="24"/>
        </w:rPr>
        <w:t xml:space="preserve"> Finance</w:t>
      </w:r>
    </w:p>
    <w:p>
      <w:pPr>
        <w:pStyle w:val="Normal"/>
        <w:widowControl w:val="false"/>
        <w:numPr>
          <w:ilvl w:val="0"/>
          <w:numId w:val="2"/>
        </w:numPr>
        <w:spacing w:lineRule="auto" w:line="240" w:before="60" w:after="0"/>
        <w:rPr/>
      </w:pPr>
      <w:r>
        <w:rPr>
          <w:rFonts w:eastAsia="Calibri" w:cs="Arial"/>
          <w:b/>
          <w:bCs/>
          <w:color w:val="262626"/>
          <w:kern w:val="0"/>
          <w:sz w:val="24"/>
          <w:szCs w:val="24"/>
        </w:rPr>
        <w:t>Reporting line:</w:t>
      </w:r>
      <w:r>
        <w:rPr>
          <w:rFonts w:eastAsia="Calibri" w:cs="Arial"/>
          <w:color w:val="262626"/>
          <w:kern w:val="0"/>
          <w:sz w:val="24"/>
          <w:szCs w:val="24"/>
        </w:rPr>
        <w:t xml:space="preserve"> Group Chief Financial Officer</w:t>
      </w:r>
    </w:p>
    <w:p>
      <w:pPr>
        <w:pStyle w:val="Normal"/>
        <w:widowControl w:val="false"/>
        <w:numPr>
          <w:ilvl w:val="0"/>
          <w:numId w:val="2"/>
        </w:numPr>
        <w:spacing w:lineRule="auto" w:line="240" w:before="60" w:after="0"/>
        <w:rPr/>
      </w:pPr>
      <w:r>
        <w:rPr>
          <w:rFonts w:eastAsia="Calibri" w:cs="Arial"/>
          <w:b/>
          <w:bCs/>
          <w:color w:val="262626"/>
          <w:kern w:val="0"/>
          <w:sz w:val="24"/>
          <w:szCs w:val="24"/>
        </w:rPr>
        <w:t>Team:</w:t>
      </w:r>
      <w:r>
        <w:rPr>
          <w:rFonts w:eastAsia="Calibri" w:cs="Arial"/>
          <w:color w:val="262626"/>
          <w:kern w:val="0"/>
          <w:sz w:val="24"/>
          <w:szCs w:val="24"/>
        </w:rPr>
        <w:t xml:space="preserve"> Financial Services</w:t>
      </w:r>
    </w:p>
    <w:p>
      <w:pPr>
        <w:pStyle w:val="Normal"/>
        <w:widowControl w:val="false"/>
        <w:pBdr>
          <w:top w:val="single" w:sz="4" w:space="10" w:color="000000"/>
          <w:left w:val="single" w:sz="4" w:space="10" w:color="000000"/>
          <w:bottom w:val="single" w:sz="4" w:space="10" w:color="000000"/>
          <w:right w:val="single" w:sz="4" w:space="10" w:color="000000"/>
        </w:pBdr>
        <w:shd w:fill="004F6E" w:val="clear"/>
        <w:spacing w:lineRule="auto" w:line="360" w:before="480" w:after="240"/>
        <w:rPr>
          <w:rFonts w:eastAsia="Calibri" w:cs="Arial"/>
          <w:b/>
          <w:b/>
          <w:bCs/>
          <w:color w:val="FFFFFF"/>
          <w:kern w:val="0"/>
          <w:sz w:val="24"/>
          <w:szCs w:val="24"/>
        </w:rPr>
      </w:pPr>
      <w:r>
        <w:rPr>
          <w:rFonts w:eastAsia="Calibri" w:cs="Arial"/>
          <w:b/>
          <w:bCs/>
          <w:color w:val="FFFFFF"/>
          <w:kern w:val="0"/>
          <w:sz w:val="24"/>
          <w:szCs w:val="24"/>
        </w:rPr>
        <w:t>Job Purpose</w:t>
      </w:r>
    </w:p>
    <w:p>
      <w:pPr>
        <w:pStyle w:val="NormalWeb"/>
        <w:spacing w:lineRule="atLeast" w:line="300"/>
        <w:rPr/>
      </w:pPr>
      <w:r>
        <w:rPr>
          <w:rFonts w:cs="Arial" w:ascii="Arial" w:hAnsi="Arial"/>
        </w:rPr>
        <w:t xml:space="preserve">The Group Director of Financial Control provides strategic, authoritative, system-wide leadership of financial control </w:t>
      </w:r>
      <w:r>
        <w:rPr>
          <w:rStyle w:val="Strong"/>
          <w:rFonts w:cs="Arial" w:ascii="Arial" w:hAnsi="Arial"/>
          <w:b w:val="false"/>
          <w:bCs w:val="false"/>
        </w:rPr>
        <w:t>across the GMCA</w:t>
      </w:r>
      <w:r>
        <w:rPr>
          <w:rStyle w:val="Strong"/>
          <w:rFonts w:cs="Arial" w:ascii="Arial" w:hAnsi="Arial"/>
        </w:rPr>
        <w:t xml:space="preserve"> </w:t>
      </w:r>
      <w:r>
        <w:rPr>
          <w:rStyle w:val="Strong"/>
          <w:rFonts w:cs="Arial" w:ascii="Arial" w:hAnsi="Arial"/>
          <w:b w:val="false"/>
          <w:bCs w:val="false"/>
        </w:rPr>
        <w:t>Group</w:t>
      </w:r>
      <w:r>
        <w:rPr>
          <w:rFonts w:cs="Arial" w:ascii="Arial" w:hAnsi="Arial"/>
          <w:b/>
          <w:bCs/>
        </w:rPr>
        <w:t>,</w:t>
      </w:r>
      <w:r>
        <w:rPr>
          <w:rFonts w:cs="Arial" w:ascii="Arial" w:hAnsi="Arial"/>
        </w:rPr>
        <w:t xml:space="preserve"> shaping and enabling a consistent, high-performing financial control environment across Greater Manchester Combined Authority (GMCA), Greater Manchester Fire and Rescue Service (GMFRS), Transport for Greater Manchester (TfGM) and working closely with our wider strategic partners.</w:t>
      </w:r>
    </w:p>
    <w:p>
      <w:pPr>
        <w:pStyle w:val="NormalWeb"/>
        <w:spacing w:lineRule="atLeast" w:line="300"/>
        <w:rPr>
          <w:rFonts w:ascii="Arial" w:hAnsi="Arial" w:cs="Arial"/>
        </w:rPr>
      </w:pPr>
      <w:r>
        <w:rPr>
          <w:rFonts w:cs="Arial" w:ascii="Arial" w:hAnsi="Arial"/>
        </w:rPr>
        <w:t>The role operates as a key member of the Group Finance leadership team, influencing corporate strategy, organisational sustainability and stewardship of significant public funds. This includes leadership of group treasury management, capital accounting, financial systems, transactional services, production of the Statement of Accounts and the Group’s relationship with external audit.</w:t>
      </w:r>
    </w:p>
    <w:p>
      <w:pPr>
        <w:pStyle w:val="NormalWeb"/>
        <w:spacing w:lineRule="atLeast" w:line="300"/>
        <w:rPr>
          <w:rFonts w:ascii="Arial" w:hAnsi="Arial" w:cs="Arial"/>
        </w:rPr>
      </w:pPr>
      <w:r>
        <w:rPr>
          <w:rFonts w:cs="Arial" w:ascii="Arial" w:hAnsi="Arial"/>
        </w:rPr>
        <w:t>As a senior corporate leader, the role contributes beyond finance, supporting whole-organisation decision making, risk management and long-term financial resilience. The role plays a critical part in safeguarding public funds, strengthening assurance, and enabling transparent, timely and comparable financial information to support effective decision</w:t>
        <w:noBreakHyphen/>
        <w:t>making.</w:t>
      </w:r>
    </w:p>
    <w:p>
      <w:pPr>
        <w:pStyle w:val="Normal"/>
        <w:widowControl w:val="false"/>
        <w:pBdr>
          <w:top w:val="single" w:sz="4" w:space="10" w:color="000000"/>
          <w:left w:val="single" w:sz="4" w:space="10" w:color="000000"/>
          <w:bottom w:val="single" w:sz="4" w:space="10" w:color="000000"/>
          <w:right w:val="single" w:sz="4" w:space="10" w:color="000000"/>
        </w:pBdr>
        <w:shd w:fill="004F6E" w:val="clear"/>
        <w:spacing w:lineRule="auto" w:line="360" w:before="480" w:after="240"/>
        <w:rPr>
          <w:rFonts w:eastAsia="Calibri" w:cs="Arial"/>
          <w:b/>
          <w:b/>
          <w:bCs/>
          <w:kern w:val="0"/>
          <w:sz w:val="24"/>
          <w:szCs w:val="24"/>
        </w:rPr>
      </w:pPr>
      <w:r>
        <w:rPr>
          <w:rFonts w:eastAsia="Calibri" w:cs="Arial"/>
          <w:b/>
          <w:bCs/>
          <w:kern w:val="0"/>
          <w:sz w:val="24"/>
          <w:szCs w:val="24"/>
        </w:rPr>
        <w:t>Key working relationships</w:t>
      </w:r>
    </w:p>
    <w:p>
      <w:pPr>
        <w:pStyle w:val="Normal"/>
        <w:widowControl w:val="false"/>
        <w:numPr>
          <w:ilvl w:val="0"/>
          <w:numId w:val="3"/>
        </w:numPr>
        <w:spacing w:lineRule="auto" w:line="240" w:before="0" w:after="0"/>
        <w:rPr>
          <w:rFonts w:eastAsia="Calibri" w:cs="Arial"/>
          <w:kern w:val="0"/>
          <w:sz w:val="24"/>
          <w:szCs w:val="24"/>
        </w:rPr>
      </w:pPr>
      <w:r>
        <w:rPr>
          <w:rFonts w:eastAsia="Calibri" w:cs="Arial"/>
          <w:kern w:val="0"/>
          <w:sz w:val="24"/>
          <w:szCs w:val="24"/>
        </w:rPr>
        <w:t>Group Leadership Team and Senior Management Teams at GMCA, TfGM and GMFRS</w:t>
      </w:r>
    </w:p>
    <w:p>
      <w:pPr>
        <w:pStyle w:val="Normal"/>
        <w:widowControl w:val="false"/>
        <w:numPr>
          <w:ilvl w:val="0"/>
          <w:numId w:val="3"/>
        </w:numPr>
        <w:spacing w:lineRule="auto" w:line="240" w:before="0" w:after="0"/>
        <w:rPr>
          <w:rFonts w:eastAsia="Calibri" w:cs="Arial"/>
          <w:kern w:val="0"/>
          <w:sz w:val="24"/>
          <w:szCs w:val="24"/>
        </w:rPr>
      </w:pPr>
      <w:r>
        <w:rPr>
          <w:rFonts w:eastAsia="Calibri" w:cs="Arial"/>
          <w:kern w:val="0"/>
          <w:sz w:val="24"/>
          <w:szCs w:val="24"/>
        </w:rPr>
        <w:t>Senior Managers from across Greater Manchester’s public sector, strategic partners and key stakeholders, including</w:t>
      </w:r>
    </w:p>
    <w:p>
      <w:pPr>
        <w:pStyle w:val="Normal"/>
        <w:widowControl w:val="false"/>
        <w:numPr>
          <w:ilvl w:val="1"/>
          <w:numId w:val="3"/>
        </w:numPr>
        <w:spacing w:lineRule="auto" w:line="240" w:before="0" w:after="0"/>
        <w:rPr>
          <w:rFonts w:eastAsia="Calibri" w:cs="Arial"/>
          <w:kern w:val="0"/>
          <w:sz w:val="24"/>
          <w:szCs w:val="24"/>
        </w:rPr>
      </w:pPr>
      <w:r>
        <w:rPr>
          <w:rFonts w:eastAsia="Calibri" w:cs="Arial"/>
          <w:kern w:val="0"/>
          <w:sz w:val="24"/>
          <w:szCs w:val="24"/>
        </w:rPr>
        <w:t>10 Local Authorities</w:t>
      </w:r>
    </w:p>
    <w:p>
      <w:pPr>
        <w:pStyle w:val="Normal"/>
        <w:widowControl w:val="false"/>
        <w:numPr>
          <w:ilvl w:val="1"/>
          <w:numId w:val="3"/>
        </w:numPr>
        <w:spacing w:lineRule="auto" w:line="240" w:before="0" w:after="0"/>
        <w:rPr>
          <w:rFonts w:eastAsia="Calibri" w:cs="Arial"/>
          <w:kern w:val="0"/>
          <w:sz w:val="24"/>
          <w:szCs w:val="24"/>
        </w:rPr>
      </w:pPr>
      <w:r>
        <w:rPr>
          <w:rFonts w:eastAsia="Calibri" w:cs="Arial"/>
          <w:kern w:val="0"/>
          <w:sz w:val="24"/>
          <w:szCs w:val="24"/>
        </w:rPr>
        <w:t>NHS GM</w:t>
      </w:r>
    </w:p>
    <w:p>
      <w:pPr>
        <w:pStyle w:val="Normal"/>
        <w:widowControl w:val="false"/>
        <w:numPr>
          <w:ilvl w:val="1"/>
          <w:numId w:val="3"/>
        </w:numPr>
        <w:spacing w:lineRule="auto" w:line="240" w:before="0" w:after="0"/>
        <w:rPr>
          <w:rFonts w:eastAsia="Calibri" w:cs="Arial"/>
          <w:kern w:val="0"/>
          <w:sz w:val="24"/>
          <w:szCs w:val="24"/>
        </w:rPr>
      </w:pPr>
      <w:r>
        <w:rPr>
          <w:rFonts w:eastAsia="Calibri" w:cs="Arial"/>
          <w:kern w:val="0"/>
          <w:sz w:val="24"/>
          <w:szCs w:val="24"/>
        </w:rPr>
        <w:t>Greater Manchester Police</w:t>
      </w:r>
    </w:p>
    <w:p>
      <w:pPr>
        <w:pStyle w:val="Normal"/>
        <w:widowControl w:val="false"/>
        <w:numPr>
          <w:ilvl w:val="0"/>
          <w:numId w:val="3"/>
        </w:numPr>
        <w:spacing w:lineRule="auto" w:line="240" w:before="0" w:after="0"/>
        <w:rPr>
          <w:rFonts w:eastAsia="Calibri" w:cs="Arial"/>
          <w:kern w:val="0"/>
          <w:sz w:val="24"/>
          <w:szCs w:val="24"/>
        </w:rPr>
      </w:pPr>
      <w:r>
        <w:rPr>
          <w:rFonts w:eastAsia="Calibri" w:cs="Arial"/>
          <w:kern w:val="0"/>
          <w:sz w:val="24"/>
          <w:szCs w:val="24"/>
        </w:rPr>
        <w:t>The Mayor of Greater Manchester and Deputy Mayors</w:t>
      </w:r>
    </w:p>
    <w:p>
      <w:pPr>
        <w:pStyle w:val="Normal"/>
        <w:widowControl w:val="false"/>
        <w:numPr>
          <w:ilvl w:val="0"/>
          <w:numId w:val="3"/>
        </w:numPr>
        <w:spacing w:lineRule="auto" w:line="240" w:before="0" w:after="0"/>
        <w:rPr>
          <w:rFonts w:eastAsia="Calibri" w:cs="Arial"/>
          <w:kern w:val="0"/>
          <w:sz w:val="24"/>
          <w:szCs w:val="24"/>
        </w:rPr>
      </w:pPr>
      <w:r>
        <w:rPr>
          <w:rFonts w:eastAsia="Calibri" w:cs="Arial"/>
          <w:kern w:val="0"/>
          <w:sz w:val="24"/>
          <w:szCs w:val="24"/>
        </w:rPr>
        <w:t>Representatives of central and local government (e.g., HM Treasury, HMRC, Cabinet Office, DfT).</w:t>
      </w:r>
    </w:p>
    <w:p>
      <w:pPr>
        <w:pStyle w:val="Normal"/>
        <w:widowControl w:val="false"/>
        <w:numPr>
          <w:ilvl w:val="0"/>
          <w:numId w:val="3"/>
        </w:numPr>
        <w:spacing w:lineRule="auto" w:line="240" w:before="0" w:after="0"/>
        <w:rPr>
          <w:rFonts w:eastAsia="Calibri" w:cs="Arial"/>
          <w:kern w:val="0"/>
          <w:sz w:val="24"/>
          <w:szCs w:val="24"/>
        </w:rPr>
      </w:pPr>
      <w:r>
        <w:rPr>
          <w:rFonts w:eastAsia="Calibri" w:cs="Arial"/>
          <w:kern w:val="0"/>
          <w:sz w:val="24"/>
          <w:szCs w:val="24"/>
        </w:rPr>
        <w:t>External bodies and agencies including auditors, professional bodies, banking and treasury institutions, technology system providers, advisory and professional services providers.</w:t>
      </w:r>
    </w:p>
    <w:p>
      <w:pPr>
        <w:pStyle w:val="Normal"/>
        <w:widowControl w:val="false"/>
        <w:spacing w:lineRule="auto" w:line="240" w:before="0" w:after="0"/>
        <w:ind w:left="720" w:right="0" w:hanging="0"/>
        <w:rPr>
          <w:rFonts w:eastAsia="Calibri" w:cs="Arial"/>
          <w:kern w:val="0"/>
          <w:sz w:val="24"/>
          <w:szCs w:val="24"/>
        </w:rPr>
      </w:pPr>
      <w:r>
        <w:rPr>
          <w:rFonts w:eastAsia="Calibri" w:cs="Arial"/>
          <w:kern w:val="0"/>
          <w:sz w:val="24"/>
          <w:szCs w:val="24"/>
        </w:rPr>
      </w:r>
    </w:p>
    <w:p>
      <w:pPr>
        <w:pStyle w:val="Normal"/>
        <w:widowControl w:val="false"/>
        <w:spacing w:lineRule="auto" w:line="240" w:before="0" w:after="0"/>
        <w:ind w:left="720" w:right="0" w:hanging="0"/>
        <w:rPr>
          <w:rFonts w:eastAsia="Calibri" w:cs="Arial"/>
          <w:kern w:val="0"/>
          <w:sz w:val="24"/>
          <w:szCs w:val="24"/>
        </w:rPr>
      </w:pPr>
      <w:r>
        <w:rPr>
          <w:rFonts w:eastAsia="Calibri" w:cs="Arial"/>
          <w:kern w:val="0"/>
          <w:sz w:val="24"/>
          <w:szCs w:val="24"/>
        </w:rPr>
      </w:r>
    </w:p>
    <w:p>
      <w:pPr>
        <w:pStyle w:val="Normal"/>
        <w:widowControl w:val="false"/>
        <w:pBdr>
          <w:top w:val="single" w:sz="4" w:space="10" w:color="000000"/>
          <w:left w:val="single" w:sz="4" w:space="10" w:color="000000"/>
          <w:bottom w:val="single" w:sz="4" w:space="10" w:color="000000"/>
          <w:right w:val="single" w:sz="4" w:space="10" w:color="000000"/>
        </w:pBdr>
        <w:shd w:fill="004F6E" w:val="clear"/>
        <w:spacing w:lineRule="auto" w:line="360" w:before="480" w:after="240"/>
        <w:rPr>
          <w:rFonts w:eastAsia="Calibri" w:cs="Arial"/>
          <w:b/>
          <w:b/>
          <w:bCs/>
          <w:color w:val="FFFFFF"/>
          <w:kern w:val="0"/>
          <w:sz w:val="24"/>
          <w:szCs w:val="24"/>
        </w:rPr>
      </w:pPr>
      <w:r>
        <w:rPr>
          <w:rFonts w:eastAsia="Calibri" w:cs="Arial"/>
          <w:b/>
          <w:bCs/>
          <w:color w:val="FFFFFF"/>
          <w:kern w:val="0"/>
          <w:sz w:val="24"/>
          <w:szCs w:val="24"/>
        </w:rPr>
        <w:t>Key Responsibilities</w:t>
      </w:r>
    </w:p>
    <w:p>
      <w:pPr>
        <w:pStyle w:val="Normal"/>
        <w:spacing w:lineRule="atLeast" w:line="300" w:before="0" w:after="0"/>
        <w:rPr>
          <w:rFonts w:cs="Arial"/>
          <w:b/>
          <w:b/>
          <w:bCs/>
          <w:sz w:val="24"/>
          <w:szCs w:val="24"/>
        </w:rPr>
      </w:pPr>
      <w:r>
        <w:rPr>
          <w:rFonts w:cs="Arial"/>
          <w:b/>
          <w:bCs/>
          <w:sz w:val="24"/>
          <w:szCs w:val="24"/>
        </w:rPr>
        <w:t>Financial Control and Governance</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Lead and maintain a strong group financial control framework, ensuring effective controls, compliance and assurance across GMCA, GMFRS, TfGM and partners including GMP.</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Own the Group’s financial governance framework, including Standing Orders, Standing Financial Instructions and Schemes of Delegation and Reservation.</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Provide expert advice to the Group Leadership Team on financial control, assurance and statutory compliance.</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Support the Group Chief Financial Officer as Deputy Section 73 Officer, providing assurance on the integrity of financial management arrangements.</w:t>
      </w:r>
    </w:p>
    <w:p>
      <w:pPr>
        <w:pStyle w:val="Normal"/>
        <w:spacing w:lineRule="atLeast" w:line="300" w:before="0" w:after="0"/>
        <w:rPr>
          <w:rFonts w:cs="Arial"/>
          <w:sz w:val="24"/>
          <w:szCs w:val="24"/>
        </w:rPr>
      </w:pPr>
      <w:r>
        <w:rPr>
          <w:rFonts w:cs="Arial"/>
          <w:sz w:val="24"/>
          <w:szCs w:val="24"/>
        </w:rPr>
      </w:r>
    </w:p>
    <w:p>
      <w:pPr>
        <w:pStyle w:val="Normal"/>
        <w:spacing w:lineRule="atLeast" w:line="300" w:before="0" w:after="0"/>
        <w:rPr>
          <w:rFonts w:cs="Arial"/>
          <w:b/>
          <w:b/>
          <w:bCs/>
          <w:sz w:val="24"/>
          <w:szCs w:val="24"/>
        </w:rPr>
      </w:pPr>
      <w:r>
        <w:rPr>
          <w:rFonts w:cs="Arial"/>
          <w:b/>
          <w:bCs/>
          <w:sz w:val="24"/>
          <w:szCs w:val="24"/>
        </w:rPr>
        <w:t>Group Leadership &amp; Corporate Contribution</w:t>
      </w:r>
    </w:p>
    <w:p>
      <w:pPr>
        <w:pStyle w:val="Normal"/>
        <w:spacing w:lineRule="atLeast" w:line="300" w:before="0" w:after="0"/>
        <w:rPr>
          <w:rFonts w:cs="Arial"/>
          <w:b/>
          <w:b/>
          <w:bCs/>
          <w:sz w:val="24"/>
          <w:szCs w:val="24"/>
        </w:rPr>
      </w:pPr>
      <w:r>
        <w:rPr>
          <w:rFonts w:cs="Arial"/>
          <w:b/>
          <w:bCs/>
          <w:sz w:val="24"/>
          <w:szCs w:val="24"/>
        </w:rPr>
      </w:r>
    </w:p>
    <w:p>
      <w:pPr>
        <w:pStyle w:val="ListParagraph"/>
        <w:numPr>
          <w:ilvl w:val="0"/>
          <w:numId w:val="7"/>
        </w:numPr>
        <w:spacing w:lineRule="atLeast" w:line="300" w:before="0" w:after="0"/>
        <w:contextualSpacing/>
        <w:rPr>
          <w:rFonts w:cs="Arial"/>
          <w:sz w:val="24"/>
          <w:szCs w:val="24"/>
        </w:rPr>
      </w:pPr>
      <w:r>
        <w:rPr>
          <w:rFonts w:cs="Arial"/>
          <w:sz w:val="24"/>
          <w:szCs w:val="24"/>
        </w:rPr>
        <w:t>As a senior corporate leader across the GMCA Group, contribute to organisational strategy, priorities and decision making beyond functional remit</w:t>
      </w:r>
    </w:p>
    <w:p>
      <w:pPr>
        <w:pStyle w:val="ListParagraph"/>
        <w:numPr>
          <w:ilvl w:val="0"/>
          <w:numId w:val="7"/>
        </w:numPr>
        <w:spacing w:lineRule="atLeast" w:line="300" w:before="0" w:after="0"/>
        <w:contextualSpacing/>
        <w:rPr>
          <w:rFonts w:cs="Arial"/>
          <w:sz w:val="24"/>
          <w:szCs w:val="24"/>
        </w:rPr>
      </w:pPr>
      <w:r>
        <w:rPr>
          <w:rFonts w:cs="Arial"/>
          <w:sz w:val="24"/>
          <w:szCs w:val="24"/>
        </w:rPr>
        <w:t>Shape and influence Group-wide financial strategy and long term sustainability, working closely with senior leaders and elected members</w:t>
      </w:r>
    </w:p>
    <w:p>
      <w:pPr>
        <w:pStyle w:val="ListParagraph"/>
        <w:numPr>
          <w:ilvl w:val="0"/>
          <w:numId w:val="7"/>
        </w:numPr>
        <w:spacing w:lineRule="atLeast" w:line="300" w:before="0" w:after="0"/>
        <w:contextualSpacing/>
        <w:rPr>
          <w:rFonts w:cs="Arial"/>
          <w:sz w:val="24"/>
          <w:szCs w:val="24"/>
        </w:rPr>
      </w:pPr>
      <w:r>
        <w:rPr>
          <w:rFonts w:cs="Arial"/>
          <w:sz w:val="24"/>
          <w:szCs w:val="24"/>
        </w:rPr>
        <w:t xml:space="preserve">Provide clear, authoritative leadership in a complex, politically sensitive environments, balancing risk, assurance and delivery. </w:t>
      </w:r>
    </w:p>
    <w:p>
      <w:pPr>
        <w:pStyle w:val="ListParagraph"/>
        <w:spacing w:lineRule="atLeast" w:line="300" w:before="0" w:after="0"/>
        <w:ind w:left="360" w:right="0" w:hanging="0"/>
        <w:contextualSpacing/>
        <w:rPr>
          <w:rFonts w:cs="Arial"/>
          <w:sz w:val="24"/>
          <w:szCs w:val="24"/>
        </w:rPr>
      </w:pPr>
      <w:r>
        <w:rPr>
          <w:rFonts w:cs="Arial"/>
          <w:sz w:val="24"/>
          <w:szCs w:val="24"/>
        </w:rPr>
      </w:r>
    </w:p>
    <w:p>
      <w:pPr>
        <w:pStyle w:val="Normal"/>
        <w:spacing w:lineRule="atLeast" w:line="300" w:before="0" w:after="0"/>
        <w:rPr>
          <w:rFonts w:cs="Arial"/>
          <w:b/>
          <w:b/>
          <w:bCs/>
          <w:sz w:val="24"/>
          <w:szCs w:val="24"/>
        </w:rPr>
      </w:pPr>
      <w:r>
        <w:rPr>
          <w:rFonts w:cs="Arial"/>
          <w:b/>
          <w:bCs/>
          <w:sz w:val="24"/>
          <w:szCs w:val="24"/>
        </w:rPr>
        <w:t>Treasury Management and Capital Accounting</w:t>
      </w:r>
    </w:p>
    <w:p>
      <w:pPr>
        <w:pStyle w:val="Normal"/>
        <w:numPr>
          <w:ilvl w:val="0"/>
          <w:numId w:val="7"/>
        </w:numPr>
        <w:spacing w:lineRule="atLeast" w:line="300" w:before="0" w:after="0"/>
        <w:rPr>
          <w:rFonts w:cs="Arial"/>
          <w:sz w:val="24"/>
          <w:szCs w:val="24"/>
        </w:rPr>
      </w:pPr>
      <w:r>
        <w:rPr>
          <w:rFonts w:cs="Arial"/>
          <w:sz w:val="24"/>
          <w:szCs w:val="24"/>
        </w:rPr>
        <w:t>Lead the Group Treasury Management functions, including borrowing, investments, cash management and risk, in line with statutory and professional requirements.</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Provide group</w:t>
        <w:noBreakHyphen/>
        <w:t>wide leadership for capital accounting, ensuring consistent treatment, strong governance and high</w:t>
        <w:noBreakHyphen/>
        <w:t>quality reporting.</w:t>
      </w:r>
    </w:p>
    <w:p>
      <w:pPr>
        <w:pStyle w:val="Normal"/>
        <w:spacing w:lineRule="atLeast" w:line="300" w:before="0" w:after="0"/>
        <w:rPr>
          <w:rFonts w:cs="Arial"/>
          <w:sz w:val="24"/>
          <w:szCs w:val="24"/>
        </w:rPr>
      </w:pPr>
      <w:r>
        <w:rPr>
          <w:rFonts w:cs="Arial"/>
          <w:sz w:val="24"/>
          <w:szCs w:val="24"/>
        </w:rPr>
      </w:r>
    </w:p>
    <w:p>
      <w:pPr>
        <w:pStyle w:val="Normal"/>
        <w:spacing w:lineRule="atLeast" w:line="300" w:before="0" w:after="0"/>
        <w:rPr>
          <w:rFonts w:cs="Arial"/>
          <w:b/>
          <w:b/>
          <w:bCs/>
          <w:sz w:val="24"/>
          <w:szCs w:val="24"/>
        </w:rPr>
      </w:pPr>
      <w:r>
        <w:rPr>
          <w:rFonts w:cs="Arial"/>
          <w:b/>
          <w:bCs/>
          <w:sz w:val="24"/>
          <w:szCs w:val="24"/>
        </w:rPr>
        <w:t>Statutory Reporting and External Audit</w:t>
      </w:r>
    </w:p>
    <w:p>
      <w:pPr>
        <w:pStyle w:val="Normal"/>
        <w:numPr>
          <w:ilvl w:val="0"/>
          <w:numId w:val="7"/>
        </w:numPr>
        <w:spacing w:lineRule="atLeast" w:line="300" w:before="0" w:after="0"/>
        <w:rPr>
          <w:rFonts w:cs="Arial"/>
          <w:sz w:val="24"/>
          <w:szCs w:val="24"/>
        </w:rPr>
      </w:pPr>
      <w:r>
        <w:rPr>
          <w:rFonts w:cs="Arial"/>
          <w:sz w:val="24"/>
          <w:szCs w:val="24"/>
        </w:rPr>
        <w:t>Lead the production of the Statement of Accounts for GMCA, GMFRS, TfGM and the GMCA Group, ensuring accuracy, compliance and timely delivery.</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Own the Group’s relationship with external audit, leading the end</w:t>
        <w:noBreakHyphen/>
        <w:t>to</w:t>
        <w:noBreakHyphen/>
        <w:t>end audit process and resolution of audit findings.</w:t>
      </w:r>
    </w:p>
    <w:p>
      <w:pPr>
        <w:pStyle w:val="Normal"/>
        <w:spacing w:lineRule="atLeast" w:line="300" w:before="0" w:after="0"/>
        <w:rPr>
          <w:rFonts w:cs="Arial"/>
          <w:sz w:val="24"/>
          <w:szCs w:val="24"/>
        </w:rPr>
      </w:pPr>
      <w:r>
        <w:rPr>
          <w:rFonts w:cs="Arial"/>
          <w:sz w:val="24"/>
          <w:szCs w:val="24"/>
        </w:rPr>
      </w:r>
    </w:p>
    <w:p>
      <w:pPr>
        <w:pStyle w:val="Normal"/>
        <w:spacing w:lineRule="atLeast" w:line="300" w:before="0" w:after="0"/>
        <w:rPr>
          <w:rFonts w:cs="Arial"/>
          <w:b/>
          <w:b/>
          <w:bCs/>
          <w:sz w:val="24"/>
          <w:szCs w:val="24"/>
        </w:rPr>
      </w:pPr>
      <w:r>
        <w:rPr>
          <w:rFonts w:cs="Arial"/>
          <w:b/>
          <w:bCs/>
          <w:sz w:val="24"/>
          <w:szCs w:val="24"/>
        </w:rPr>
        <w:t>Transactional Finance</w:t>
      </w:r>
    </w:p>
    <w:p>
      <w:pPr>
        <w:pStyle w:val="Normal"/>
        <w:numPr>
          <w:ilvl w:val="0"/>
          <w:numId w:val="7"/>
        </w:numPr>
        <w:spacing w:lineRule="atLeast" w:line="300" w:before="0" w:after="0"/>
        <w:rPr>
          <w:rFonts w:cs="Arial"/>
          <w:sz w:val="24"/>
          <w:szCs w:val="24"/>
        </w:rPr>
      </w:pPr>
      <w:r>
        <w:rPr>
          <w:rFonts w:cs="Arial"/>
          <w:sz w:val="24"/>
          <w:szCs w:val="24"/>
        </w:rPr>
        <w:t>Hold overall responsibility for the Groups transactional finance teams and service delivery, including accounts payable and accounts receivable.</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Drive efficient, well</w:t>
        <w:noBreakHyphen/>
        <w:t>controlled and customer</w:t>
        <w:noBreakHyphen/>
        <w:t>focused transactional operations, with a strong culture of continuous improvement.</w:t>
      </w:r>
    </w:p>
    <w:p>
      <w:pPr>
        <w:pStyle w:val="Normal"/>
        <w:spacing w:lineRule="atLeast" w:line="300" w:before="0" w:after="0"/>
        <w:rPr>
          <w:rFonts w:cs="Arial"/>
          <w:sz w:val="24"/>
          <w:szCs w:val="24"/>
        </w:rPr>
      </w:pPr>
      <w:r>
        <w:rPr>
          <w:rFonts w:cs="Arial"/>
          <w:sz w:val="24"/>
          <w:szCs w:val="24"/>
        </w:rPr>
      </w:r>
    </w:p>
    <w:p>
      <w:pPr>
        <w:pStyle w:val="Normal"/>
        <w:spacing w:lineRule="atLeast" w:line="300" w:before="0" w:after="0"/>
        <w:rPr>
          <w:rFonts w:cs="Arial"/>
          <w:b/>
          <w:b/>
          <w:bCs/>
          <w:sz w:val="24"/>
          <w:szCs w:val="24"/>
        </w:rPr>
      </w:pPr>
      <w:r>
        <w:rPr>
          <w:rFonts w:cs="Arial"/>
          <w:b/>
          <w:bCs/>
          <w:sz w:val="24"/>
          <w:szCs w:val="24"/>
        </w:rPr>
        <w:t>Financial Systems, Improvement and Group Enablement</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Lead responsibility for financial systems and group</w:t>
        <w:noBreakHyphen/>
        <w:t>wide financial standards, ensuring systems, policies and processes support strong financial control, high</w:t>
        <w:noBreakHyphen/>
        <w:t>quality reporting, efficient transactions, consistency and organisational resilience.</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Lead major group-wide transformation of financial control,  systems and services through collaborative working, strengthening delivery performance, streamlining processes, enhancing system capability and developing people skills to promote best practice and value for money.</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Lead group</w:t>
        <w:noBreakHyphen/>
        <w:t>wide financial change programmes, evolving operating models, ways of working and financial systems to improve control, efficiency, capability and long</w:t>
        <w:noBreakHyphen/>
        <w:t>term sustainability.</w:t>
      </w:r>
    </w:p>
    <w:p>
      <w:pPr>
        <w:pStyle w:val="Normal"/>
        <w:numPr>
          <w:ilvl w:val="0"/>
          <w:numId w:val="7"/>
        </w:numPr>
        <w:tabs>
          <w:tab w:val="left" w:pos="720" w:leader="none"/>
        </w:tabs>
        <w:spacing w:lineRule="atLeast" w:line="300" w:before="0" w:after="0"/>
        <w:rPr>
          <w:rFonts w:cs="Arial"/>
          <w:sz w:val="24"/>
          <w:szCs w:val="24"/>
        </w:rPr>
      </w:pPr>
      <w:r>
        <w:rPr>
          <w:rFonts w:cs="Arial"/>
          <w:sz w:val="24"/>
          <w:szCs w:val="24"/>
        </w:rPr>
        <w:t>Hold accountability for group financial control across multiple organisations with significant public expenditure, ensuring strong stewardship and value for money</w:t>
      </w:r>
    </w:p>
    <w:p>
      <w:pPr>
        <w:pStyle w:val="Normal"/>
        <w:spacing w:lineRule="atLeast" w:line="300" w:before="0" w:after="0"/>
        <w:jc w:val="both"/>
        <w:rPr>
          <w:rFonts w:cs="Arial"/>
          <w:sz w:val="24"/>
          <w:szCs w:val="24"/>
        </w:rPr>
      </w:pPr>
      <w:r>
        <w:rPr>
          <w:rFonts w:cs="Arial"/>
          <w:sz w:val="24"/>
          <w:szCs w:val="24"/>
        </w:rPr>
      </w:r>
    </w:p>
    <w:p>
      <w:pPr>
        <w:pStyle w:val="Normal"/>
        <w:widowControl w:val="false"/>
        <w:pBdr>
          <w:top w:val="single" w:sz="4" w:space="10" w:color="000000"/>
          <w:left w:val="single" w:sz="4" w:space="10" w:color="000000"/>
          <w:bottom w:val="single" w:sz="4" w:space="10" w:color="000000"/>
          <w:right w:val="single" w:sz="4" w:space="10" w:color="000000"/>
        </w:pBdr>
        <w:shd w:fill="004F6E" w:val="clear"/>
        <w:spacing w:lineRule="auto" w:line="360" w:before="480" w:after="240"/>
        <w:rPr>
          <w:rFonts w:eastAsia="Calibri" w:cs="Arial"/>
          <w:b/>
          <w:b/>
          <w:bCs/>
          <w:color w:val="FFFFFF"/>
          <w:kern w:val="0"/>
          <w:sz w:val="24"/>
          <w:szCs w:val="24"/>
        </w:rPr>
      </w:pPr>
      <w:r>
        <w:rPr>
          <w:rFonts w:eastAsia="Calibri" w:cs="Arial"/>
          <w:b/>
          <w:bCs/>
          <w:color w:val="FFFFFF"/>
          <w:kern w:val="0"/>
          <w:sz w:val="24"/>
          <w:szCs w:val="24"/>
        </w:rPr>
        <w:t>General</w:t>
      </w:r>
    </w:p>
    <w:p>
      <w:pPr>
        <w:pStyle w:val="ListParagraph"/>
        <w:widowControl w:val="false"/>
        <w:numPr>
          <w:ilvl w:val="0"/>
          <w:numId w:val="5"/>
        </w:numPr>
        <w:spacing w:before="120" w:after="120"/>
        <w:contextualSpacing/>
        <w:rPr>
          <w:rFonts w:eastAsia="Calibri" w:cs="Arial"/>
          <w:kern w:val="0"/>
          <w:sz w:val="24"/>
          <w:szCs w:val="24"/>
        </w:rPr>
      </w:pPr>
      <w:r>
        <w:rPr>
          <w:rFonts w:eastAsia="Calibri" w:cs="Arial"/>
          <w:kern w:val="0"/>
          <w:sz w:val="24"/>
          <w:szCs w:val="24"/>
        </w:rPr>
        <w:t xml:space="preserve">Provide leadership to senior managers and leaders, creating high performing, values-led finance function across the group </w:t>
      </w:r>
    </w:p>
    <w:p>
      <w:pPr>
        <w:pStyle w:val="ListParagraph"/>
        <w:widowControl w:val="false"/>
        <w:numPr>
          <w:ilvl w:val="0"/>
          <w:numId w:val="5"/>
        </w:numPr>
        <w:spacing w:before="120" w:after="120"/>
        <w:contextualSpacing/>
        <w:rPr>
          <w:rFonts w:eastAsia="Calibri" w:cs="Arial"/>
          <w:kern w:val="0"/>
          <w:sz w:val="24"/>
          <w:szCs w:val="24"/>
        </w:rPr>
      </w:pPr>
      <w:r>
        <w:rPr>
          <w:rFonts w:eastAsia="Calibri" w:cs="Arial"/>
          <w:kern w:val="0"/>
          <w:sz w:val="24"/>
          <w:szCs w:val="24"/>
        </w:rPr>
        <w:t xml:space="preserve">Build leadership capability and succession strength, ensuring resilience and sustainability of the finance function. </w:t>
      </w:r>
    </w:p>
    <w:p>
      <w:pPr>
        <w:pStyle w:val="ListParagraph"/>
        <w:widowControl w:val="false"/>
        <w:numPr>
          <w:ilvl w:val="0"/>
          <w:numId w:val="5"/>
        </w:numPr>
        <w:spacing w:before="120" w:after="120"/>
        <w:contextualSpacing/>
        <w:rPr>
          <w:rFonts w:eastAsia="Calibri" w:cs="Arial"/>
          <w:kern w:val="0"/>
          <w:sz w:val="24"/>
          <w:szCs w:val="24"/>
        </w:rPr>
      </w:pPr>
      <w:r>
        <w:rPr>
          <w:rFonts w:eastAsia="Calibri" w:cs="Arial"/>
          <w:kern w:val="0"/>
          <w:sz w:val="24"/>
          <w:szCs w:val="24"/>
        </w:rPr>
        <w:t>Demonstrate and advocate shared ways of working across the group organisations to ensure activities are focussed around the priorities of the GMS</w:t>
      </w:r>
    </w:p>
    <w:p>
      <w:pPr>
        <w:pStyle w:val="Normal"/>
        <w:numPr>
          <w:ilvl w:val="0"/>
          <w:numId w:val="19"/>
        </w:numPr>
        <w:spacing w:lineRule="atLeast" w:line="300" w:before="0" w:after="0"/>
        <w:rPr>
          <w:rFonts w:cs="Arial"/>
          <w:sz w:val="24"/>
          <w:szCs w:val="24"/>
        </w:rPr>
      </w:pPr>
      <w:r>
        <w:rPr>
          <w:rFonts w:cs="Arial"/>
          <w:sz w:val="24"/>
          <w:szCs w:val="24"/>
        </w:rPr>
        <w:t>Be an advocate and driver of change across the GMCA Group, supporting continuous improvement and organisational development.</w:t>
      </w:r>
    </w:p>
    <w:p>
      <w:pPr>
        <w:pStyle w:val="Normal"/>
        <w:numPr>
          <w:ilvl w:val="0"/>
          <w:numId w:val="19"/>
        </w:numPr>
        <w:spacing w:lineRule="atLeast" w:line="300" w:before="0" w:after="0"/>
        <w:rPr>
          <w:rFonts w:cs="Arial"/>
          <w:sz w:val="24"/>
          <w:szCs w:val="24"/>
        </w:rPr>
      </w:pPr>
      <w:r>
        <w:rPr>
          <w:rFonts w:cs="Arial"/>
          <w:sz w:val="24"/>
          <w:szCs w:val="24"/>
        </w:rPr>
        <w:t>Consistently demonstrate the vision and values of GMCA Group demonstrating clear leadership and providing a role model to staff across the organisation.</w:t>
      </w:r>
    </w:p>
    <w:p>
      <w:pPr>
        <w:pStyle w:val="Normal"/>
        <w:numPr>
          <w:ilvl w:val="0"/>
          <w:numId w:val="19"/>
        </w:numPr>
        <w:spacing w:lineRule="atLeast" w:line="300" w:before="0" w:after="0"/>
        <w:rPr>
          <w:rFonts w:cs="Arial"/>
          <w:sz w:val="24"/>
          <w:szCs w:val="24"/>
        </w:rPr>
      </w:pPr>
      <w:r>
        <w:rPr>
          <w:rFonts w:cs="Arial"/>
          <w:sz w:val="24"/>
          <w:szCs w:val="24"/>
        </w:rPr>
        <w:t>Overall responsibility for the budget, information and people management in areas of responsibility</w:t>
      </w:r>
    </w:p>
    <w:p>
      <w:pPr>
        <w:pStyle w:val="Normal"/>
        <w:numPr>
          <w:ilvl w:val="0"/>
          <w:numId w:val="19"/>
        </w:numPr>
        <w:spacing w:lineRule="atLeast" w:line="300" w:before="0" w:after="0"/>
        <w:rPr>
          <w:rFonts w:cs="Arial"/>
          <w:sz w:val="24"/>
          <w:szCs w:val="24"/>
        </w:rPr>
      </w:pPr>
      <w:r>
        <w:rPr>
          <w:rFonts w:cs="Arial"/>
          <w:sz w:val="24"/>
          <w:szCs w:val="24"/>
        </w:rPr>
        <w:t>Manage contracts with external resource providers to ensure value for money by specifying requirements, managing delivery of requirement and confirming deliverables.</w:t>
      </w:r>
    </w:p>
    <w:p>
      <w:pPr>
        <w:pStyle w:val="Normal"/>
        <w:numPr>
          <w:ilvl w:val="0"/>
          <w:numId w:val="19"/>
        </w:numPr>
        <w:spacing w:lineRule="atLeast" w:line="300" w:before="0" w:after="0"/>
        <w:rPr>
          <w:rFonts w:cs="Arial"/>
          <w:sz w:val="24"/>
          <w:szCs w:val="24"/>
        </w:rPr>
      </w:pPr>
      <w:r>
        <w:rPr>
          <w:rFonts w:cs="Arial"/>
          <w:sz w:val="24"/>
          <w:szCs w:val="24"/>
        </w:rPr>
        <w:t>To always hold yourself and others to a high standard of professionalism, demonstrating your commitment to our values and behaviours as well as ensuring service confidentiality is maintained throughout all we do.</w:t>
      </w:r>
    </w:p>
    <w:p>
      <w:pPr>
        <w:pStyle w:val="Normal"/>
        <w:numPr>
          <w:ilvl w:val="0"/>
          <w:numId w:val="19"/>
        </w:numPr>
        <w:spacing w:lineRule="atLeast" w:line="300" w:before="0" w:after="0"/>
        <w:rPr>
          <w:rFonts w:cs="Arial"/>
          <w:sz w:val="24"/>
          <w:szCs w:val="24"/>
        </w:rPr>
      </w:pPr>
      <w:r>
        <w:rPr>
          <w:rFonts w:cs="Arial"/>
          <w:sz w:val="24"/>
          <w:szCs w:val="24"/>
        </w:rPr>
        <w:t>To undertake any other duties as the Group Leadership Team may require.</w:t>
      </w:r>
    </w:p>
    <w:p>
      <w:pPr>
        <w:pStyle w:val="Normal"/>
        <w:numPr>
          <w:ilvl w:val="0"/>
          <w:numId w:val="19"/>
        </w:numPr>
        <w:spacing w:lineRule="atLeast" w:line="300" w:before="0" w:after="0"/>
        <w:rPr>
          <w:rFonts w:cs="Arial"/>
          <w:sz w:val="24"/>
          <w:szCs w:val="24"/>
        </w:rPr>
      </w:pPr>
      <w:r>
        <w:rPr>
          <w:rFonts w:cs="Arial"/>
          <w:sz w:val="24"/>
          <w:szCs w:val="24"/>
        </w:rPr>
        <w:t>Working with other teams internally and externally collaboration is maximised and supporting on activity where appropriate.</w:t>
      </w:r>
    </w:p>
    <w:p>
      <w:pPr>
        <w:pStyle w:val="Normal"/>
        <w:numPr>
          <w:ilvl w:val="0"/>
          <w:numId w:val="19"/>
        </w:numPr>
        <w:spacing w:lineRule="atLeast" w:line="300" w:before="0" w:after="0"/>
        <w:rPr>
          <w:rFonts w:cs="Arial"/>
          <w:sz w:val="24"/>
          <w:szCs w:val="24"/>
        </w:rPr>
      </w:pPr>
      <w:r>
        <w:rPr>
          <w:rFonts w:cs="Arial"/>
          <w:sz w:val="24"/>
          <w:szCs w:val="24"/>
        </w:rPr>
        <w:t>Ensure the services delivered internally and externally are inclusive and accessible.</w:t>
      </w:r>
    </w:p>
    <w:p>
      <w:pPr>
        <w:pStyle w:val="Normal"/>
        <w:numPr>
          <w:ilvl w:val="0"/>
          <w:numId w:val="19"/>
        </w:numPr>
        <w:spacing w:lineRule="atLeast" w:line="300" w:before="0" w:after="0"/>
        <w:rPr>
          <w:rFonts w:cs="Arial"/>
          <w:sz w:val="24"/>
          <w:szCs w:val="24"/>
        </w:rPr>
      </w:pPr>
      <w:r>
        <w:rPr>
          <w:rFonts w:cs="Arial"/>
          <w:sz w:val="24"/>
          <w:szCs w:val="24"/>
        </w:rPr>
        <w:t xml:space="preserve">To align work area to the Sustainability Strategy and ensure work practices are inclusive of this value &amp; strategic intent. </w:t>
      </w:r>
    </w:p>
    <w:p>
      <w:pPr>
        <w:pStyle w:val="Normal"/>
        <w:spacing w:before="120" w:after="120"/>
        <w:rPr>
          <w:rFonts w:cs="Arial"/>
          <w:sz w:val="24"/>
          <w:szCs w:val="24"/>
        </w:rPr>
      </w:pPr>
      <w:r>
        <w:rPr>
          <w:rFonts w:cs="Arial"/>
          <w:sz w:val="24"/>
          <w:szCs w:val="24"/>
        </w:rPr>
        <w:t>NB: This list is not exhaustive; the post holder may undertake other relevant duties as required.</w:t>
      </w:r>
    </w:p>
    <w:p>
      <w:pPr>
        <w:pStyle w:val="Normal"/>
        <w:widowControl w:val="false"/>
        <w:pBdr>
          <w:top w:val="single" w:sz="4" w:space="10" w:color="000000"/>
          <w:left w:val="single" w:sz="4" w:space="10" w:color="000000"/>
          <w:bottom w:val="single" w:sz="4" w:space="10" w:color="000000"/>
          <w:right w:val="single" w:sz="4" w:space="10" w:color="000000"/>
        </w:pBdr>
        <w:shd w:fill="004F6E" w:val="clear"/>
        <w:spacing w:lineRule="auto" w:line="360" w:before="480" w:after="240"/>
        <w:rPr>
          <w:rFonts w:eastAsia="Calibri" w:cs="Arial"/>
          <w:b/>
          <w:b/>
          <w:bCs/>
          <w:color w:val="FFFFFF"/>
          <w:kern w:val="0"/>
          <w:sz w:val="24"/>
          <w:szCs w:val="24"/>
        </w:rPr>
      </w:pPr>
      <w:r>
        <w:rPr>
          <w:rFonts w:eastAsia="Calibri" w:cs="Arial"/>
          <w:b/>
          <w:bCs/>
          <w:color w:val="FFFFFF"/>
          <w:kern w:val="0"/>
          <w:sz w:val="24"/>
          <w:szCs w:val="24"/>
        </w:rPr>
        <w:t>Knowledge, Skills, and Experience</w:t>
      </w:r>
    </w:p>
    <w:p>
      <w:pPr>
        <w:pStyle w:val="Heading4"/>
        <w:spacing w:lineRule="exact" w:line="292"/>
        <w:jc w:val="both"/>
        <w:rPr>
          <w:rFonts w:ascii="Arial" w:hAnsi="Arial" w:cs="Arial"/>
          <w:spacing w:val="-2"/>
          <w:sz w:val="24"/>
          <w:szCs w:val="24"/>
        </w:rPr>
      </w:pPr>
      <w:r>
        <w:rPr>
          <w:rFonts w:cs="Arial" w:ascii="Arial" w:hAnsi="Arial"/>
          <w:spacing w:val="-2"/>
          <w:sz w:val="24"/>
          <w:szCs w:val="24"/>
        </w:rPr>
        <w:t>Essential Qualifications</w:t>
      </w:r>
    </w:p>
    <w:p>
      <w:pPr>
        <w:pStyle w:val="ListParagraph"/>
        <w:numPr>
          <w:ilvl w:val="0"/>
          <w:numId w:val="6"/>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 xml:space="preserve">Postgraduate accounting qualification (CIPFA, CIMA, ACA, ACCA). </w:t>
      </w:r>
    </w:p>
    <w:p>
      <w:pPr>
        <w:pStyle w:val="ListParagraph"/>
        <w:numPr>
          <w:ilvl w:val="0"/>
          <w:numId w:val="6"/>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 xml:space="preserve">Full membership of a CCAB, CIMA or equivalent professional body </w:t>
      </w:r>
    </w:p>
    <w:p>
      <w:pPr>
        <w:pStyle w:val="ListParagraph"/>
        <w:numPr>
          <w:ilvl w:val="0"/>
          <w:numId w:val="6"/>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Relevant degree or equivalent experience in a finance</w:t>
        <w:noBreakHyphen/>
        <w:t>related discipline</w:t>
      </w:r>
    </w:p>
    <w:p>
      <w:pPr>
        <w:pStyle w:val="ListParagraph"/>
        <w:numPr>
          <w:ilvl w:val="0"/>
          <w:numId w:val="6"/>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Evidence of continued professional, managerial, and personal development, including keeping technical knowledge up to date</w:t>
      </w:r>
    </w:p>
    <w:p>
      <w:pPr>
        <w:pStyle w:val="Heading4"/>
        <w:spacing w:lineRule="exact" w:line="292"/>
        <w:jc w:val="both"/>
        <w:rPr>
          <w:rFonts w:ascii="Arial" w:hAnsi="Arial" w:cs="Arial"/>
          <w:spacing w:val="-2"/>
          <w:sz w:val="24"/>
          <w:szCs w:val="24"/>
        </w:rPr>
      </w:pPr>
      <w:r>
        <w:rPr>
          <w:rFonts w:cs="Arial" w:ascii="Arial" w:hAnsi="Arial"/>
          <w:spacing w:val="-2"/>
          <w:sz w:val="24"/>
          <w:szCs w:val="24"/>
        </w:rPr>
      </w:r>
    </w:p>
    <w:p>
      <w:pPr>
        <w:pStyle w:val="Heading4"/>
        <w:spacing w:lineRule="exact" w:line="292"/>
        <w:jc w:val="both"/>
        <w:rPr>
          <w:rFonts w:ascii="Arial" w:hAnsi="Arial" w:cs="Arial"/>
          <w:spacing w:val="-2"/>
          <w:sz w:val="24"/>
          <w:szCs w:val="24"/>
        </w:rPr>
      </w:pPr>
      <w:r>
        <w:rPr>
          <w:rFonts w:cs="Arial" w:ascii="Arial" w:hAnsi="Arial"/>
          <w:spacing w:val="-2"/>
          <w:sz w:val="24"/>
          <w:szCs w:val="24"/>
        </w:rPr>
        <w:t>Desirable Qualifications</w:t>
      </w:r>
    </w:p>
    <w:p>
      <w:pPr>
        <w:pStyle w:val="ListParagraph"/>
        <w:numPr>
          <w:ilvl w:val="0"/>
          <w:numId w:val="6"/>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 xml:space="preserve">Experience or qualifications relating to public sector accounting, capital accounting, or financial controls. </w:t>
      </w:r>
    </w:p>
    <w:p>
      <w:pPr>
        <w:pStyle w:val="Heading4"/>
        <w:spacing w:before="240" w:after="40"/>
        <w:jc w:val="both"/>
        <w:rPr/>
      </w:pPr>
      <w:r>
        <w:rPr>
          <w:rFonts w:cs="Arial" w:ascii="Arial" w:hAnsi="Arial"/>
          <w:sz w:val="24"/>
          <w:szCs w:val="24"/>
        </w:rPr>
        <w:t>Essential Knowledge,</w:t>
      </w:r>
      <w:r>
        <w:rPr>
          <w:rFonts w:cs="Arial" w:ascii="Arial" w:hAnsi="Arial"/>
          <w:spacing w:val="-2"/>
          <w:sz w:val="24"/>
          <w:szCs w:val="24"/>
        </w:rPr>
        <w:t xml:space="preserve"> </w:t>
      </w:r>
      <w:r>
        <w:rPr>
          <w:rFonts w:cs="Arial" w:ascii="Arial" w:hAnsi="Arial"/>
          <w:sz w:val="24"/>
          <w:szCs w:val="24"/>
        </w:rPr>
        <w:t>Skills</w:t>
      </w:r>
      <w:r>
        <w:rPr>
          <w:rFonts w:cs="Arial" w:ascii="Arial" w:hAnsi="Arial"/>
          <w:spacing w:val="-1"/>
          <w:sz w:val="24"/>
          <w:szCs w:val="24"/>
        </w:rPr>
        <w:t xml:space="preserve"> </w:t>
      </w:r>
      <w:r>
        <w:rPr>
          <w:rFonts w:cs="Arial" w:ascii="Arial" w:hAnsi="Arial"/>
          <w:sz w:val="24"/>
          <w:szCs w:val="24"/>
        </w:rPr>
        <w:t>and</w:t>
      </w:r>
      <w:r>
        <w:rPr>
          <w:rFonts w:cs="Arial" w:ascii="Arial" w:hAnsi="Arial"/>
          <w:spacing w:val="-3"/>
          <w:sz w:val="24"/>
          <w:szCs w:val="24"/>
        </w:rPr>
        <w:t xml:space="preserve"> </w:t>
      </w:r>
      <w:r>
        <w:rPr>
          <w:rFonts w:cs="Arial" w:ascii="Arial" w:hAnsi="Arial"/>
          <w:spacing w:val="-2"/>
          <w:sz w:val="24"/>
          <w:szCs w:val="24"/>
        </w:rPr>
        <w:t>Experience</w:t>
        <w:tab/>
        <w:br/>
      </w:r>
    </w:p>
    <w:p>
      <w:pPr>
        <w:pStyle w:val="Normal"/>
        <w:spacing w:lineRule="auto" w:line="240" w:before="0" w:after="0"/>
        <w:rPr>
          <w:rFonts w:eastAsia="Times New Roman" w:cs="Arial"/>
          <w:b/>
          <w:b/>
          <w:bCs/>
          <w:kern w:val="0"/>
          <w:sz w:val="24"/>
          <w:szCs w:val="24"/>
          <w:lang w:eastAsia="en-GB"/>
        </w:rPr>
      </w:pPr>
      <w:r>
        <w:rPr>
          <w:rFonts w:eastAsia="Times New Roman" w:cs="Arial"/>
          <w:b/>
          <w:bCs/>
          <w:kern w:val="0"/>
          <w:sz w:val="24"/>
          <w:szCs w:val="24"/>
          <w:lang w:eastAsia="en-GB"/>
        </w:rPr>
        <w:t>Strategic Leadership</w:t>
      </w:r>
    </w:p>
    <w:p>
      <w:pPr>
        <w:pStyle w:val="ListParagraph"/>
        <w:numPr>
          <w:ilvl w:val="0"/>
          <w:numId w:val="14"/>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Significant senior leadership experience within complex finance functions, ideally in local government, combined authorities, policing or the wider public sector.</w:t>
      </w:r>
    </w:p>
    <w:p>
      <w:pPr>
        <w:pStyle w:val="ListParagraph"/>
        <w:numPr>
          <w:ilvl w:val="0"/>
          <w:numId w:val="14"/>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Proven track record of providing effective strategic leadership in large, multi</w:t>
        <w:noBreakHyphen/>
        <w:t>disciplinary organisations.</w:t>
      </w:r>
    </w:p>
    <w:p>
      <w:pPr>
        <w:pStyle w:val="ListParagraph"/>
        <w:numPr>
          <w:ilvl w:val="0"/>
          <w:numId w:val="14"/>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Strong technical expertise in financial control, governance, statutory reporting, capital accounting and treasury management.</w:t>
      </w:r>
    </w:p>
    <w:p>
      <w:pPr>
        <w:pStyle w:val="ListParagraph"/>
        <w:numPr>
          <w:ilvl w:val="0"/>
          <w:numId w:val="14"/>
        </w:numPr>
        <w:spacing w:lineRule="atLeast" w:line="300" w:before="0" w:after="280"/>
        <w:contextualSpacing/>
        <w:rPr>
          <w:rFonts w:eastAsia="Times New Roman" w:cs="Arial"/>
          <w:sz w:val="24"/>
          <w:szCs w:val="24"/>
          <w:lang w:eastAsia="en-GB"/>
        </w:rPr>
      </w:pPr>
      <w:r>
        <w:rPr>
          <w:rFonts w:eastAsia="Times New Roman" w:cs="Arial"/>
          <w:sz w:val="24"/>
          <w:szCs w:val="24"/>
          <w:lang w:eastAsia="en-GB"/>
        </w:rPr>
        <w:t>Demonstrable experience operating at a senior level in a large, complex, multi-organisation environments.</w:t>
      </w:r>
    </w:p>
    <w:p>
      <w:pPr>
        <w:pStyle w:val="Normal"/>
        <w:spacing w:lineRule="auto" w:line="240" w:before="0" w:after="0"/>
        <w:rPr>
          <w:rFonts w:eastAsia="Times New Roman" w:cs="Arial"/>
          <w:b/>
          <w:b/>
          <w:bCs/>
          <w:kern w:val="0"/>
          <w:sz w:val="24"/>
          <w:szCs w:val="24"/>
          <w:lang w:eastAsia="en-GB"/>
        </w:rPr>
      </w:pPr>
      <w:r>
        <w:rPr>
          <w:rFonts w:eastAsia="Times New Roman" w:cs="Arial"/>
          <w:b/>
          <w:bCs/>
          <w:kern w:val="0"/>
          <w:sz w:val="24"/>
          <w:szCs w:val="24"/>
          <w:lang w:eastAsia="en-GB"/>
        </w:rPr>
        <w:t>Financial Strategy, Planning &amp; Performance</w:t>
      </w:r>
    </w:p>
    <w:p>
      <w:pPr>
        <w:pStyle w:val="ListParagraph"/>
        <w:numPr>
          <w:ilvl w:val="0"/>
          <w:numId w:val="15"/>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Extensive experience of budget setting, monitoring and medium</w:t>
        <w:noBreakHyphen/>
        <w:t>term financial planning, including year</w:t>
        <w:noBreakHyphen/>
        <w:t>end closure in large public sector bodies.</w:t>
      </w:r>
    </w:p>
    <w:p>
      <w:pPr>
        <w:pStyle w:val="ListParagraph"/>
        <w:numPr>
          <w:ilvl w:val="0"/>
          <w:numId w:val="13"/>
        </w:numPr>
        <w:spacing w:lineRule="atLeast" w:line="300" w:before="280" w:after="0"/>
        <w:contextualSpacing/>
        <w:rPr>
          <w:rFonts w:eastAsia="Times New Roman" w:cs="Arial"/>
          <w:kern w:val="0"/>
          <w:sz w:val="24"/>
          <w:szCs w:val="24"/>
          <w:lang w:eastAsia="en-GB"/>
        </w:rPr>
      </w:pPr>
      <w:r>
        <w:rPr>
          <w:rFonts w:eastAsia="Times New Roman" w:cs="Arial"/>
          <w:kern w:val="0"/>
          <w:sz w:val="24"/>
          <w:szCs w:val="24"/>
          <w:lang w:eastAsia="en-GB"/>
        </w:rPr>
        <w:t>Ability to take a whole</w:t>
        <w:noBreakHyphen/>
        <w:t>organisation perspective, linking financial management to operational priorities, transformation and corporate strategy.</w:t>
      </w:r>
    </w:p>
    <w:p>
      <w:pPr>
        <w:pStyle w:val="ListParagraph"/>
        <w:numPr>
          <w:ilvl w:val="0"/>
          <w:numId w:val="13"/>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Strong commercial and financial insight, with a focus on efficiency, value for money and financial resilience.</w:t>
      </w:r>
    </w:p>
    <w:p>
      <w:pPr>
        <w:pStyle w:val="ListParagraph"/>
        <w:numPr>
          <w:ilvl w:val="0"/>
          <w:numId w:val="13"/>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Experience managing large-scale financial operations and governance in high-value, high-risk environments</w:t>
      </w:r>
    </w:p>
    <w:p>
      <w:pPr>
        <w:pStyle w:val="ListParagraph"/>
        <w:numPr>
          <w:ilvl w:val="0"/>
          <w:numId w:val="13"/>
        </w:numPr>
        <w:spacing w:lineRule="atLeast" w:line="300" w:before="0" w:after="280"/>
        <w:contextualSpacing/>
        <w:rPr>
          <w:rFonts w:eastAsia="Times New Roman" w:cs="Arial"/>
          <w:kern w:val="0"/>
          <w:sz w:val="24"/>
          <w:szCs w:val="24"/>
          <w:lang w:eastAsia="en-GB"/>
        </w:rPr>
      </w:pPr>
      <w:r>
        <w:rPr>
          <w:rFonts w:eastAsia="Times New Roman" w:cs="Arial"/>
          <w:kern w:val="0"/>
          <w:sz w:val="24"/>
          <w:szCs w:val="24"/>
          <w:lang w:eastAsia="en-GB"/>
        </w:rPr>
        <w:t xml:space="preserve">Track record of leading major organisational or functional transformation programmes </w:t>
      </w:r>
    </w:p>
    <w:p>
      <w:pPr>
        <w:pStyle w:val="Normal"/>
        <w:spacing w:lineRule="auto" w:line="240" w:before="0" w:after="0"/>
        <w:rPr>
          <w:rFonts w:eastAsia="Times New Roman" w:cs="Arial"/>
          <w:b/>
          <w:b/>
          <w:bCs/>
          <w:kern w:val="0"/>
          <w:sz w:val="24"/>
          <w:szCs w:val="24"/>
          <w:lang w:eastAsia="en-GB"/>
        </w:rPr>
      </w:pPr>
      <w:r>
        <w:rPr>
          <w:rFonts w:eastAsia="Times New Roman" w:cs="Arial"/>
          <w:b/>
          <w:bCs/>
          <w:kern w:val="0"/>
          <w:sz w:val="24"/>
          <w:szCs w:val="24"/>
          <w:lang w:eastAsia="en-GB"/>
        </w:rPr>
        <w:t>Regulatory, Professional and Technical Expertise</w:t>
      </w:r>
    </w:p>
    <w:p>
      <w:pPr>
        <w:pStyle w:val="ListParagraph"/>
        <w:numPr>
          <w:ilvl w:val="0"/>
          <w:numId w:val="16"/>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In</w:t>
        <w:noBreakHyphen/>
        <w:t>depth knowledge of public sector finance regulations and reporting frameworks, including the Code of Practice on Local Authority Accounting, SeRCOP, relevant FRS/IFRS (including IFRS 16), and the Prudential and Treasury Management Codes.</w:t>
      </w:r>
    </w:p>
    <w:p>
      <w:pPr>
        <w:pStyle w:val="ListParagraph"/>
        <w:numPr>
          <w:ilvl w:val="0"/>
          <w:numId w:val="12"/>
        </w:numPr>
        <w:spacing w:lineRule="atLeast" w:line="300" w:before="280" w:after="280"/>
        <w:contextualSpacing/>
        <w:rPr>
          <w:rFonts w:eastAsia="Times New Roman" w:cs="Arial"/>
          <w:kern w:val="0"/>
          <w:sz w:val="24"/>
          <w:szCs w:val="24"/>
          <w:lang w:eastAsia="en-GB"/>
        </w:rPr>
      </w:pPr>
      <w:r>
        <w:rPr>
          <w:rFonts w:eastAsia="Times New Roman" w:cs="Arial"/>
          <w:kern w:val="0"/>
          <w:sz w:val="24"/>
          <w:szCs w:val="24"/>
          <w:lang w:eastAsia="en-GB"/>
        </w:rPr>
        <w:t>Strong understanding of public audit, financial governance, HM Treasury guidance and statutory reporting requirements.</w:t>
      </w:r>
    </w:p>
    <w:p>
      <w:pPr>
        <w:pStyle w:val="Normal"/>
        <w:spacing w:lineRule="auto" w:line="240" w:before="0" w:after="0"/>
        <w:rPr>
          <w:rFonts w:eastAsia="Times New Roman" w:cs="Arial"/>
          <w:b/>
          <w:b/>
          <w:bCs/>
          <w:kern w:val="0"/>
          <w:sz w:val="24"/>
          <w:szCs w:val="24"/>
          <w:lang w:eastAsia="en-GB"/>
        </w:rPr>
      </w:pPr>
      <w:r>
        <w:rPr>
          <w:rFonts w:eastAsia="Times New Roman" w:cs="Arial"/>
          <w:b/>
          <w:bCs/>
          <w:kern w:val="0"/>
          <w:sz w:val="24"/>
          <w:szCs w:val="24"/>
          <w:lang w:eastAsia="en-GB"/>
        </w:rPr>
        <w:t>Systems, Data and Technology</w:t>
      </w:r>
    </w:p>
    <w:p>
      <w:pPr>
        <w:pStyle w:val="ListParagraph"/>
        <w:numPr>
          <w:ilvl w:val="0"/>
          <w:numId w:val="16"/>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Ability to use technology and data to streamline financial processes, controls and reporting</w:t>
      </w:r>
    </w:p>
    <w:p>
      <w:pPr>
        <w:pStyle w:val="ListParagraph"/>
        <w:numPr>
          <w:ilvl w:val="0"/>
          <w:numId w:val="16"/>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Knowledge and experience of financial and ERP systems, including leading or contributing to their implementation, improvement or embedding and associated process change (Desirable)</w:t>
      </w:r>
    </w:p>
    <w:p>
      <w:pPr>
        <w:pStyle w:val="ListParagraph"/>
        <w:spacing w:lineRule="auto" w:line="240" w:before="0" w:after="0"/>
        <w:ind w:left="360" w:right="0" w:hanging="0"/>
        <w:contextualSpacing/>
        <w:rPr>
          <w:rFonts w:eastAsia="Times New Roman" w:cs="Arial"/>
          <w:kern w:val="0"/>
          <w:sz w:val="24"/>
          <w:szCs w:val="24"/>
          <w:lang w:eastAsia="en-GB"/>
        </w:rPr>
      </w:pPr>
      <w:r>
        <w:rPr>
          <w:rFonts w:eastAsia="Times New Roman" w:cs="Arial"/>
          <w:kern w:val="0"/>
          <w:sz w:val="24"/>
          <w:szCs w:val="24"/>
          <w:lang w:eastAsia="en-GB"/>
        </w:rPr>
      </w:r>
    </w:p>
    <w:p>
      <w:pPr>
        <w:pStyle w:val="Normal"/>
        <w:spacing w:lineRule="auto" w:line="240" w:before="0" w:after="0"/>
        <w:rPr>
          <w:rFonts w:eastAsia="Times New Roman" w:cs="Arial"/>
          <w:b/>
          <w:b/>
          <w:bCs/>
          <w:kern w:val="0"/>
          <w:sz w:val="24"/>
          <w:szCs w:val="24"/>
          <w:lang w:eastAsia="en-GB"/>
        </w:rPr>
      </w:pPr>
      <w:r>
        <w:rPr>
          <w:rFonts w:eastAsia="Times New Roman" w:cs="Arial"/>
          <w:b/>
          <w:bCs/>
          <w:kern w:val="0"/>
          <w:sz w:val="24"/>
          <w:szCs w:val="24"/>
          <w:lang w:eastAsia="en-GB"/>
        </w:rPr>
        <w:t>Partnership, Collaboration &amp; Stakeholder Influence</w:t>
      </w:r>
    </w:p>
    <w:p>
      <w:pPr>
        <w:pStyle w:val="ListParagraph"/>
        <w:numPr>
          <w:ilvl w:val="0"/>
          <w:numId w:val="16"/>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Significant experience of working collaboratively with a wide range of internal and external stakeholders across the public sector</w:t>
      </w:r>
    </w:p>
    <w:p>
      <w:pPr>
        <w:pStyle w:val="ListParagraph"/>
        <w:numPr>
          <w:ilvl w:val="0"/>
          <w:numId w:val="11"/>
        </w:numPr>
        <w:spacing w:lineRule="atLeast" w:line="300" w:before="280" w:after="0"/>
        <w:contextualSpacing/>
        <w:rPr>
          <w:rFonts w:eastAsia="Times New Roman" w:cs="Arial"/>
          <w:kern w:val="0"/>
          <w:sz w:val="24"/>
          <w:szCs w:val="24"/>
          <w:lang w:eastAsia="en-GB"/>
        </w:rPr>
      </w:pPr>
      <w:r>
        <w:rPr>
          <w:rFonts w:eastAsia="Times New Roman" w:cs="Arial"/>
          <w:kern w:val="0"/>
          <w:sz w:val="24"/>
          <w:szCs w:val="24"/>
          <w:lang w:eastAsia="en-GB"/>
        </w:rPr>
        <w:t>Strong influencing and relationship</w:t>
        <w:noBreakHyphen/>
        <w:t>building skills, with the ability to communicate complex financial issues clearly to non</w:t>
        <w:noBreakHyphen/>
        <w:t>financial audiences</w:t>
      </w:r>
    </w:p>
    <w:p>
      <w:pPr>
        <w:pStyle w:val="ListParagraph"/>
        <w:numPr>
          <w:ilvl w:val="0"/>
          <w:numId w:val="11"/>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Experience of operating effectively in politically sensitive environments, balancing competing priorities and risk</w:t>
      </w:r>
    </w:p>
    <w:p>
      <w:pPr>
        <w:pStyle w:val="ListParagraph"/>
        <w:numPr>
          <w:ilvl w:val="0"/>
          <w:numId w:val="11"/>
        </w:numPr>
        <w:spacing w:lineRule="atLeast" w:line="300" w:before="0" w:after="280"/>
        <w:contextualSpacing/>
        <w:rPr>
          <w:rFonts w:eastAsia="Times New Roman" w:cs="Arial"/>
          <w:kern w:val="0"/>
          <w:sz w:val="24"/>
          <w:szCs w:val="24"/>
          <w:lang w:eastAsia="en-GB"/>
        </w:rPr>
      </w:pPr>
      <w:r>
        <w:rPr>
          <w:rFonts w:eastAsia="Times New Roman" w:cs="Arial"/>
          <w:kern w:val="0"/>
          <w:sz w:val="24"/>
          <w:szCs w:val="24"/>
          <w:lang w:eastAsia="en-GB"/>
        </w:rPr>
        <w:t>Experience working across organisational boundaries to influence strategy, governance and delivery at a system level.</w:t>
      </w:r>
    </w:p>
    <w:p>
      <w:pPr>
        <w:pStyle w:val="Normal"/>
        <w:spacing w:lineRule="auto" w:line="240" w:before="0" w:after="0"/>
        <w:rPr>
          <w:rFonts w:eastAsia="Times New Roman" w:cs="Arial"/>
          <w:b/>
          <w:b/>
          <w:bCs/>
          <w:kern w:val="0"/>
          <w:sz w:val="24"/>
          <w:szCs w:val="24"/>
          <w:lang w:eastAsia="en-GB"/>
        </w:rPr>
      </w:pPr>
      <w:r>
        <w:rPr>
          <w:rFonts w:eastAsia="Times New Roman" w:cs="Arial"/>
          <w:b/>
          <w:bCs/>
          <w:kern w:val="0"/>
          <w:sz w:val="24"/>
          <w:szCs w:val="24"/>
          <w:lang w:eastAsia="en-GB"/>
        </w:rPr>
        <w:t>People Leadership &amp; Organisational Development</w:t>
      </w:r>
    </w:p>
    <w:p>
      <w:pPr>
        <w:pStyle w:val="ListParagraph"/>
        <w:numPr>
          <w:ilvl w:val="0"/>
          <w:numId w:val="17"/>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Proven ability to lead, develop and sustain high</w:t>
        <w:noBreakHyphen/>
        <w:t>performing finance teams</w:t>
      </w:r>
    </w:p>
    <w:p>
      <w:pPr>
        <w:pStyle w:val="ListParagraph"/>
        <w:numPr>
          <w:ilvl w:val="0"/>
          <w:numId w:val="17"/>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Ability to foster a positive culture focused on accountability, continuous improvement and service quality</w:t>
      </w:r>
    </w:p>
    <w:p>
      <w:pPr>
        <w:pStyle w:val="ListParagraph"/>
        <w:numPr>
          <w:ilvl w:val="0"/>
          <w:numId w:val="10"/>
        </w:numPr>
        <w:spacing w:lineRule="atLeast" w:line="300" w:before="280" w:after="280"/>
        <w:contextualSpacing/>
        <w:rPr>
          <w:rFonts w:eastAsia="Times New Roman" w:cs="Arial"/>
          <w:kern w:val="0"/>
          <w:sz w:val="24"/>
          <w:szCs w:val="24"/>
          <w:lang w:eastAsia="en-GB"/>
        </w:rPr>
      </w:pPr>
      <w:r>
        <w:rPr>
          <w:rFonts w:eastAsia="Times New Roman" w:cs="Arial"/>
          <w:kern w:val="0"/>
          <w:sz w:val="24"/>
          <w:szCs w:val="24"/>
          <w:lang w:eastAsia="en-GB"/>
        </w:rPr>
        <w:t>Experience of leading change and supporting staff through organisational and cultural transformation</w:t>
      </w:r>
    </w:p>
    <w:p>
      <w:pPr>
        <w:pStyle w:val="Normal"/>
        <w:spacing w:lineRule="auto" w:line="240" w:before="0" w:after="0"/>
        <w:rPr>
          <w:rFonts w:eastAsia="Times New Roman" w:cs="Arial"/>
          <w:b/>
          <w:b/>
          <w:bCs/>
          <w:kern w:val="0"/>
          <w:sz w:val="24"/>
          <w:szCs w:val="24"/>
          <w:lang w:eastAsia="en-GB"/>
        </w:rPr>
      </w:pPr>
      <w:r>
        <w:rPr>
          <w:rFonts w:eastAsia="Times New Roman" w:cs="Arial"/>
          <w:b/>
          <w:bCs/>
          <w:kern w:val="0"/>
          <w:sz w:val="24"/>
          <w:szCs w:val="24"/>
          <w:lang w:eastAsia="en-GB"/>
        </w:rPr>
        <w:t>Strategic Problem Solving &amp; Future Planning</w:t>
      </w:r>
    </w:p>
    <w:p>
      <w:pPr>
        <w:pStyle w:val="ListParagraph"/>
        <w:numPr>
          <w:ilvl w:val="0"/>
          <w:numId w:val="10"/>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Ability to anticipate future organisational needs and shape finance functions to meet emerging challenges</w:t>
      </w:r>
    </w:p>
    <w:p>
      <w:pPr>
        <w:pStyle w:val="ListParagraph"/>
        <w:numPr>
          <w:ilvl w:val="0"/>
          <w:numId w:val="9"/>
        </w:numPr>
        <w:spacing w:lineRule="atLeast" w:line="300" w:before="280" w:after="0"/>
        <w:contextualSpacing/>
        <w:rPr>
          <w:rFonts w:eastAsia="Times New Roman" w:cs="Arial"/>
          <w:kern w:val="0"/>
          <w:sz w:val="24"/>
          <w:szCs w:val="24"/>
          <w:lang w:eastAsia="en-GB"/>
        </w:rPr>
      </w:pPr>
      <w:r>
        <w:rPr>
          <w:rFonts w:eastAsia="Times New Roman" w:cs="Arial"/>
          <w:kern w:val="0"/>
          <w:sz w:val="24"/>
          <w:szCs w:val="24"/>
          <w:lang w:eastAsia="en-GB"/>
        </w:rPr>
        <w:t>Analytical and strategic thinking skills, with the ability to develop solutions to complex issues</w:t>
      </w:r>
    </w:p>
    <w:p>
      <w:pPr>
        <w:pStyle w:val="ListParagraph"/>
        <w:numPr>
          <w:ilvl w:val="0"/>
          <w:numId w:val="9"/>
        </w:numPr>
        <w:spacing w:lineRule="atLeast" w:line="300" w:before="0" w:after="280"/>
        <w:contextualSpacing/>
        <w:rPr>
          <w:rFonts w:eastAsia="Times New Roman" w:cs="Arial"/>
          <w:kern w:val="0"/>
          <w:sz w:val="24"/>
          <w:szCs w:val="24"/>
          <w:lang w:eastAsia="en-GB"/>
        </w:rPr>
      </w:pPr>
      <w:r>
        <w:rPr>
          <w:rFonts w:eastAsia="Times New Roman" w:cs="Arial"/>
          <w:kern w:val="0"/>
          <w:sz w:val="24"/>
          <w:szCs w:val="24"/>
          <w:lang w:eastAsia="en-GB"/>
        </w:rPr>
        <w:t>Resilient and adaptable, able to operate effectively in fast</w:t>
        <w:noBreakHyphen/>
        <w:t>paced or uncertain environments</w:t>
      </w:r>
    </w:p>
    <w:p>
      <w:pPr>
        <w:pStyle w:val="Normal"/>
        <w:spacing w:lineRule="auto" w:line="240" w:before="0" w:after="0"/>
        <w:rPr>
          <w:rFonts w:eastAsia="Times New Roman" w:cs="Arial"/>
          <w:b/>
          <w:b/>
          <w:bCs/>
          <w:kern w:val="0"/>
          <w:sz w:val="24"/>
          <w:szCs w:val="24"/>
          <w:lang w:eastAsia="en-GB"/>
        </w:rPr>
      </w:pPr>
      <w:r>
        <w:rPr>
          <w:rFonts w:eastAsia="Times New Roman" w:cs="Arial"/>
          <w:b/>
          <w:bCs/>
          <w:kern w:val="0"/>
          <w:sz w:val="24"/>
          <w:szCs w:val="24"/>
          <w:lang w:eastAsia="en-GB"/>
        </w:rPr>
        <w:t>Other Skills</w:t>
      </w:r>
    </w:p>
    <w:p>
      <w:pPr>
        <w:pStyle w:val="ListParagraph"/>
        <w:numPr>
          <w:ilvl w:val="0"/>
          <w:numId w:val="18"/>
        </w:numPr>
        <w:spacing w:lineRule="auto" w:line="240" w:before="0" w:after="0"/>
        <w:contextualSpacing/>
        <w:rPr>
          <w:rFonts w:eastAsia="Times New Roman" w:cs="Arial"/>
          <w:kern w:val="0"/>
          <w:sz w:val="24"/>
          <w:szCs w:val="24"/>
          <w:lang w:eastAsia="en-GB"/>
        </w:rPr>
      </w:pPr>
      <w:r>
        <w:rPr>
          <w:rFonts w:eastAsia="Times New Roman" w:cs="Arial"/>
          <w:kern w:val="0"/>
          <w:sz w:val="24"/>
          <w:szCs w:val="24"/>
          <w:lang w:eastAsia="en-GB"/>
        </w:rPr>
        <w:t>Highly numerate, with strong written and verbal communication skills</w:t>
      </w:r>
    </w:p>
    <w:p>
      <w:pPr>
        <w:pStyle w:val="ListParagraph"/>
        <w:numPr>
          <w:ilvl w:val="0"/>
          <w:numId w:val="8"/>
        </w:numPr>
        <w:spacing w:lineRule="atLeast" w:line="300" w:before="280" w:after="0"/>
        <w:contextualSpacing/>
        <w:rPr>
          <w:rFonts w:eastAsia="Times New Roman" w:cs="Arial"/>
          <w:kern w:val="0"/>
          <w:sz w:val="24"/>
          <w:szCs w:val="24"/>
          <w:lang w:eastAsia="en-GB"/>
        </w:rPr>
      </w:pPr>
      <w:r>
        <w:rPr>
          <w:rFonts w:eastAsia="Times New Roman" w:cs="Arial"/>
          <w:kern w:val="0"/>
          <w:sz w:val="24"/>
          <w:szCs w:val="24"/>
          <w:lang w:eastAsia="en-GB"/>
        </w:rPr>
        <w:t>Well organised, able to work at pace while maintaining accuracy</w:t>
      </w:r>
    </w:p>
    <w:p>
      <w:pPr>
        <w:pStyle w:val="ListParagraph"/>
        <w:numPr>
          <w:ilvl w:val="0"/>
          <w:numId w:val="8"/>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Strong commercial awareness and ability to balance public value with financial discipline</w:t>
      </w:r>
    </w:p>
    <w:p>
      <w:pPr>
        <w:pStyle w:val="ListParagraph"/>
        <w:numPr>
          <w:ilvl w:val="0"/>
          <w:numId w:val="8"/>
        </w:numPr>
        <w:spacing w:lineRule="atLeast" w:line="300" w:before="0" w:after="280"/>
        <w:contextualSpacing/>
        <w:rPr>
          <w:rFonts w:eastAsia="Times New Roman" w:cs="Arial"/>
          <w:kern w:val="0"/>
          <w:sz w:val="24"/>
          <w:szCs w:val="24"/>
          <w:lang w:eastAsia="en-GB"/>
        </w:rPr>
      </w:pPr>
      <w:r>
        <w:rPr>
          <w:rFonts w:eastAsia="Times New Roman" w:cs="Arial"/>
          <w:kern w:val="0"/>
          <w:sz w:val="24"/>
          <w:szCs w:val="24"/>
          <w:lang w:eastAsia="en-GB"/>
        </w:rPr>
        <w:t>Understanding of financial frameworks supporting local authority service delivery and long</w:t>
        <w:noBreakHyphen/>
        <w:t>term investment decisions (Desirable)</w:t>
      </w:r>
    </w:p>
    <w:p>
      <w:pPr>
        <w:pStyle w:val="Heading4"/>
        <w:spacing w:before="240" w:after="40"/>
        <w:jc w:val="both"/>
        <w:rPr/>
      </w:pPr>
      <w:r>
        <w:rPr>
          <w:rFonts w:eastAsia="Times New Roman" w:cs="Arial"/>
          <w:kern w:val="0"/>
          <w:sz w:val="24"/>
          <w:szCs w:val="24"/>
          <w:lang w:eastAsia="en-GB"/>
        </w:rPr>
        <w:br/>
      </w:r>
      <w:r>
        <w:rPr>
          <w:rFonts w:cs="Arial" w:ascii="Arial" w:hAnsi="Arial"/>
          <w:sz w:val="24"/>
          <w:szCs w:val="24"/>
        </w:rPr>
        <w:t>Values &amp; Behaviours</w:t>
      </w:r>
    </w:p>
    <w:p>
      <w:pPr>
        <w:pStyle w:val="ListParagraph"/>
        <w:numPr>
          <w:ilvl w:val="0"/>
          <w:numId w:val="8"/>
        </w:numPr>
        <w:spacing w:lineRule="atLeast" w:line="300" w:before="280" w:after="0"/>
        <w:contextualSpacing/>
        <w:rPr>
          <w:rFonts w:eastAsia="Times New Roman" w:cs="Arial"/>
          <w:kern w:val="0"/>
          <w:sz w:val="24"/>
          <w:szCs w:val="24"/>
          <w:lang w:eastAsia="en-GB"/>
        </w:rPr>
      </w:pPr>
      <w:r>
        <w:rPr>
          <w:rFonts w:eastAsia="Times New Roman" w:cs="Arial"/>
          <w:kern w:val="0"/>
          <w:sz w:val="24"/>
          <w:szCs w:val="24"/>
          <w:lang w:eastAsia="en-GB"/>
        </w:rPr>
        <w:t>Political Acumen: Demonstrates strong awareness of the political and public accountability environment, navigating complexity with sensitivity, judgement and professionalism</w:t>
      </w:r>
    </w:p>
    <w:p>
      <w:pPr>
        <w:pStyle w:val="ListParagraph"/>
        <w:numPr>
          <w:ilvl w:val="0"/>
          <w:numId w:val="8"/>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Integrity: Upholds the highest standards of ethical behaviour, transparency and stewardship in the management of public funds and decision</w:t>
        <w:noBreakHyphen/>
        <w:t>making</w:t>
      </w:r>
    </w:p>
    <w:p>
      <w:pPr>
        <w:pStyle w:val="ListParagraph"/>
        <w:numPr>
          <w:ilvl w:val="0"/>
          <w:numId w:val="8"/>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Collaboration: Actively promotes collaborative and inclusive ways of working across organisations, valuing partnership, shared ownership and collective success</w:t>
      </w:r>
    </w:p>
    <w:p>
      <w:pPr>
        <w:pStyle w:val="ListParagraph"/>
        <w:numPr>
          <w:ilvl w:val="0"/>
          <w:numId w:val="8"/>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Inclusivity: Champions equality, diversity and inclusion, creating an environment where people feel respected, supported and able to perform at their best</w:t>
      </w:r>
    </w:p>
    <w:p>
      <w:pPr>
        <w:pStyle w:val="ListParagraph"/>
        <w:numPr>
          <w:ilvl w:val="0"/>
          <w:numId w:val="8"/>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Proactivity: Anticipates risks and issues, taking timely and proportionate action to prevent escalation and protect organisational interests</w:t>
      </w:r>
    </w:p>
    <w:p>
      <w:pPr>
        <w:pStyle w:val="ListParagraph"/>
        <w:numPr>
          <w:ilvl w:val="0"/>
          <w:numId w:val="8"/>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Adaptability: Responds positively to change, remaining flexible and resilient in the face of evolving priorities, uncertainty and ambiguity</w:t>
      </w:r>
    </w:p>
    <w:p>
      <w:pPr>
        <w:pStyle w:val="ListParagraph"/>
        <w:numPr>
          <w:ilvl w:val="0"/>
          <w:numId w:val="8"/>
        </w:numPr>
        <w:spacing w:lineRule="atLeast" w:line="300" w:before="0" w:after="0"/>
        <w:contextualSpacing/>
        <w:rPr>
          <w:rFonts w:eastAsia="Times New Roman" w:cs="Arial"/>
          <w:kern w:val="0"/>
          <w:sz w:val="24"/>
          <w:szCs w:val="24"/>
          <w:lang w:eastAsia="en-GB"/>
        </w:rPr>
      </w:pPr>
      <w:r>
        <w:rPr>
          <w:rFonts w:eastAsia="Times New Roman" w:cs="Arial"/>
          <w:kern w:val="0"/>
          <w:sz w:val="24"/>
          <w:szCs w:val="24"/>
          <w:lang w:eastAsia="en-GB"/>
        </w:rPr>
        <w:t>Sustainability: Demonstrates commitment to long</w:t>
        <w:noBreakHyphen/>
        <w:t>term sustainability, ensuring decisions balance immediate priorities with future financial, environmental and organisational impact.</w:t>
      </w:r>
    </w:p>
    <w:p>
      <w:pPr>
        <w:pStyle w:val="ListParagraph"/>
        <w:numPr>
          <w:ilvl w:val="0"/>
          <w:numId w:val="8"/>
        </w:numPr>
        <w:spacing w:lineRule="atLeast" w:line="300" w:before="0" w:after="280"/>
        <w:contextualSpacing/>
        <w:rPr>
          <w:rFonts w:eastAsia="Times New Roman" w:cs="Arial"/>
          <w:kern w:val="0"/>
          <w:sz w:val="24"/>
          <w:szCs w:val="24"/>
          <w:lang w:eastAsia="en-GB"/>
        </w:rPr>
      </w:pPr>
      <w:r>
        <w:rPr>
          <w:rFonts w:eastAsia="Times New Roman" w:cs="Arial"/>
          <w:kern w:val="0"/>
          <w:sz w:val="24"/>
          <w:szCs w:val="24"/>
          <w:lang w:eastAsia="en-GB"/>
        </w:rPr>
        <w:t>Respectful Challenge: Willing to challenge constructively, addressing issues and differing views in a professional and solution</w:t>
        <w:noBreakHyphen/>
        <w:t>focused manner</w:t>
      </w:r>
    </w:p>
    <w:p>
      <w:pPr>
        <w:pStyle w:val="NormalWeb"/>
        <w:spacing w:before="0" w:after="0"/>
        <w:rPr>
          <w:rFonts w:ascii="Arial" w:hAnsi="Arial" w:cs="Arial"/>
          <w:b/>
          <w:b/>
          <w:bCs/>
          <w:color w:val="FF0000"/>
          <w:sz w:val="22"/>
          <w:szCs w:val="22"/>
          <w:highlight w:val="white"/>
        </w:rPr>
      </w:pPr>
      <w:r>
        <w:rPr>
          <w:rFonts w:cs="Arial" w:ascii="Arial" w:hAnsi="Arial"/>
          <w:b/>
          <w:bCs/>
          <w:color w:val="FF0000"/>
          <w:sz w:val="22"/>
          <w:szCs w:val="22"/>
          <w:highlight w:val="white"/>
        </w:rPr>
      </w:r>
    </w:p>
    <w:p>
      <w:pPr>
        <w:pStyle w:val="NormalWeb"/>
        <w:spacing w:before="0" w:after="0"/>
        <w:rPr>
          <w:rFonts w:ascii="Arial" w:hAnsi="Arial" w:cs="Arial"/>
          <w:b/>
          <w:b/>
          <w:bCs/>
          <w:highlight w:val="white"/>
        </w:rPr>
      </w:pPr>
      <w:r>
        <w:rPr>
          <w:rFonts w:cs="Arial" w:ascii="Arial" w:hAnsi="Arial"/>
          <w:b/>
          <w:bCs/>
          <w:highlight w:val="white"/>
        </w:rPr>
        <w:t>GMP VETTING:</w:t>
      </w:r>
    </w:p>
    <w:p>
      <w:pPr>
        <w:pStyle w:val="NormalWeb"/>
        <w:spacing w:before="0" w:after="0"/>
        <w:rPr>
          <w:rFonts w:ascii="Arial" w:hAnsi="Arial" w:cs="Arial"/>
        </w:rPr>
      </w:pPr>
      <w:r>
        <w:rPr>
          <w:rFonts w:cs="Arial" w:ascii="Arial" w:hAnsi="Arial"/>
        </w:rPr>
        <w:t xml:space="preserve">This post requires Non-Police Personnel Vetting. </w:t>
      </w:r>
    </w:p>
    <w:p>
      <w:pPr>
        <w:pStyle w:val="Normal"/>
        <w:spacing w:before="240" w:after="160"/>
        <w:rPr>
          <w:rFonts w:cs="Arial"/>
          <w:sz w:val="24"/>
          <w:szCs w:val="24"/>
        </w:rPr>
      </w:pPr>
      <w:r>
        <w:rPr>
          <w:rFonts w:cs="Arial"/>
          <w:sz w:val="24"/>
          <w:szCs w:val="24"/>
        </w:rPr>
        <w:t>Applicants must have a minimum of 3 years UK residency for Non-Police Personnel Vetting.  If an applicant does not have the minimum residency required eligibility would be considered on a case by case basis using all information that can be obtained following a successful application.</w:t>
      </w:r>
    </w:p>
    <w:p>
      <w:pPr>
        <w:pStyle w:val="Normal"/>
        <w:spacing w:before="240" w:after="160"/>
        <w:rPr>
          <w:rFonts w:cs="Arial"/>
          <w:sz w:val="24"/>
          <w:szCs w:val="24"/>
        </w:rPr>
      </w:pPr>
      <w:r>
        <w:rPr>
          <w:rFonts w:cs="Arial"/>
          <w:sz w:val="24"/>
          <w:szCs w:val="24"/>
        </w:rPr>
        <w:t>The College of Policing’s Code of Practice for Vetting must be followed. This information is available from the College of Policing website.</w:t>
      </w:r>
    </w:p>
    <w:p>
      <w:pPr>
        <w:pStyle w:val="Normal"/>
        <w:spacing w:before="240" w:after="160"/>
        <w:rPr>
          <w:rFonts w:cs="Arial"/>
          <w:b/>
          <w:b/>
          <w:sz w:val="24"/>
          <w:szCs w:val="24"/>
        </w:rPr>
      </w:pPr>
      <w:r>
        <w:rPr>
          <w:rFonts w:cs="Arial"/>
          <w:b/>
          <w:sz w:val="24"/>
          <w:szCs w:val="24"/>
        </w:rPr>
        <w:t>POLITICALLY RESTRICTED:</w:t>
      </w:r>
    </w:p>
    <w:p>
      <w:pPr>
        <w:pStyle w:val="Normal"/>
        <w:jc w:val="both"/>
        <w:rPr>
          <w:rFonts w:cs="Arial"/>
          <w:sz w:val="24"/>
          <w:szCs w:val="24"/>
        </w:rPr>
      </w:pPr>
      <w:r>
        <w:rPr>
          <w:rFonts w:cs="Arial"/>
          <w:sz w:val="24"/>
          <w:szCs w:val="24"/>
        </w:rPr>
        <w:t>This post is a politically restricted post, as defined by the Local Government and Housing Act 1989 (as amended by Section 30 of the Local Democracy, Economic Development and Construction Act 2009) on one of the following grounds:</w:t>
      </w:r>
    </w:p>
    <w:p>
      <w:pPr>
        <w:pStyle w:val="ListParagraph"/>
        <w:numPr>
          <w:ilvl w:val="0"/>
          <w:numId w:val="4"/>
        </w:numPr>
        <w:jc w:val="both"/>
        <w:rPr>
          <w:sz w:val="24"/>
          <w:szCs w:val="24"/>
        </w:rPr>
      </w:pPr>
      <w:r>
        <w:rPr>
          <w:sz w:val="24"/>
          <w:szCs w:val="24"/>
        </w:rPr>
        <w:t>the post is that of a Chief Officer or Deputy Chief Officer or</w:t>
      </w:r>
    </w:p>
    <w:p>
      <w:pPr>
        <w:pStyle w:val="ListParagraph"/>
        <w:numPr>
          <w:ilvl w:val="0"/>
          <w:numId w:val="4"/>
        </w:numPr>
        <w:jc w:val="both"/>
        <w:rPr>
          <w:sz w:val="24"/>
          <w:szCs w:val="24"/>
        </w:rPr>
      </w:pPr>
      <w:r>
        <w:rPr>
          <w:sz w:val="24"/>
          <w:szCs w:val="24"/>
        </w:rPr>
        <w:t>the post has delegated powers to discharge the functions of the Authority; or</w:t>
      </w:r>
    </w:p>
    <w:p>
      <w:pPr>
        <w:pStyle w:val="ListParagraph"/>
        <w:numPr>
          <w:ilvl w:val="0"/>
          <w:numId w:val="4"/>
        </w:numPr>
        <w:jc w:val="both"/>
        <w:rPr>
          <w:sz w:val="24"/>
          <w:szCs w:val="24"/>
        </w:rPr>
      </w:pPr>
      <w:r>
        <w:rPr>
          <w:sz w:val="24"/>
          <w:szCs w:val="24"/>
        </w:rPr>
        <w:t>the duties associated with the post include giving advice on a regular basis to the Authority, to Committees or Sub-Committees of the Authority (including member panels, Sub-Committees etc.) or to joint committees on which the Authority is represented or give advice to Executive Members, Committees or speak to the media.</w:t>
      </w:r>
    </w:p>
    <w:p>
      <w:pPr>
        <w:pStyle w:val="Normal"/>
        <w:spacing w:before="240" w:after="160"/>
        <w:rPr>
          <w:rFonts w:cs="Arial"/>
          <w:sz w:val="24"/>
          <w:szCs w:val="24"/>
        </w:rPr>
      </w:pPr>
      <w:r>
        <w:rPr>
          <w:rFonts w:cs="Arial"/>
          <w:sz w:val="24"/>
          <w:szCs w:val="24"/>
        </w:rPr>
        <w:t>The post holder has a right to appeal to the GMCA Chief Executive against the classification of their post as politically restricted.</w:t>
      </w:r>
    </w:p>
    <w:p>
      <w:pPr>
        <w:pStyle w:val="Normal"/>
        <w:spacing w:lineRule="atLeast" w:line="300" w:before="280" w:after="280"/>
        <w:rPr>
          <w:rFonts w:eastAsia="Times New Roman" w:cs="Arial"/>
          <w:kern w:val="0"/>
          <w:sz w:val="24"/>
          <w:szCs w:val="24"/>
          <w:lang w:eastAsia="en-GB"/>
        </w:rPr>
      </w:pPr>
      <w:r>
        <w:rPr>
          <w:rFonts w:eastAsia="Times New Roman" w:cs="Arial"/>
          <w:kern w:val="0"/>
          <w:sz w:val="24"/>
          <w:szCs w:val="24"/>
          <w:lang w:eastAsia="en-GB"/>
        </w:rPr>
      </w:r>
    </w:p>
    <w:p>
      <w:pPr>
        <w:pStyle w:val="Normal"/>
        <w:widowControl w:val="false"/>
        <w:pBdr>
          <w:top w:val="single" w:sz="4" w:space="10" w:color="000000"/>
          <w:left w:val="single" w:sz="4" w:space="10" w:color="000000"/>
          <w:bottom w:val="single" w:sz="4" w:space="10" w:color="000000"/>
          <w:right w:val="single" w:sz="4" w:space="10" w:color="000000"/>
        </w:pBdr>
        <w:shd w:fill="004F6E" w:val="clear"/>
        <w:spacing w:lineRule="auto" w:line="360" w:before="480" w:after="240"/>
        <w:rPr>
          <w:rFonts w:eastAsia="Calibri" w:cs="Arial"/>
          <w:b/>
          <w:b/>
          <w:bCs/>
          <w:color w:val="FFFFFF"/>
          <w:kern w:val="0"/>
          <w:sz w:val="24"/>
          <w:szCs w:val="24"/>
        </w:rPr>
      </w:pPr>
      <w:r>
        <w:rPr>
          <w:rFonts w:eastAsia="Calibri" w:cs="Arial"/>
          <w:b/>
          <w:bCs/>
          <w:color w:val="FFFFFF"/>
          <w:kern w:val="0"/>
          <w:sz w:val="24"/>
          <w:szCs w:val="24"/>
        </w:rPr>
        <w:t>Corporate Duties</w:t>
      </w:r>
    </w:p>
    <w:p>
      <w:pPr>
        <w:pStyle w:val="Normal"/>
        <w:widowControl w:val="false"/>
        <w:spacing w:lineRule="auto" w:line="240" w:before="0" w:after="0"/>
        <w:rPr/>
      </w:pPr>
      <w:r>
        <w:rPr>
          <w:rFonts w:eastAsia="Calibri" w:cs="Arial"/>
          <w:i/>
          <w:iCs/>
          <w:color w:val="262626"/>
          <w:kern w:val="0"/>
          <w:sz w:val="24"/>
          <w:szCs w:val="24"/>
        </w:rPr>
        <w:t>Do not behave in way which discriminates against your fellow employees, or potential</w:t>
      </w:r>
      <w:r>
        <w:rPr>
          <w:rFonts w:eastAsia="Calibri" w:cs="Arial"/>
          <w:i/>
          <w:iCs/>
          <w:color w:val="262626"/>
          <w:spacing w:val="1"/>
          <w:kern w:val="0"/>
          <w:sz w:val="24"/>
          <w:szCs w:val="24"/>
        </w:rPr>
        <w:t xml:space="preserve"> </w:t>
      </w:r>
      <w:r>
        <w:rPr>
          <w:rFonts w:eastAsia="Calibri" w:cs="Arial"/>
          <w:i/>
          <w:iCs/>
          <w:color w:val="262626"/>
          <w:kern w:val="0"/>
          <w:sz w:val="24"/>
          <w:szCs w:val="24"/>
        </w:rPr>
        <w:t>employees on the grounds of their sex, sexual orientation, marital status, race, religion,</w:t>
      </w:r>
      <w:r>
        <w:rPr>
          <w:rFonts w:eastAsia="Calibri" w:cs="Arial"/>
          <w:i/>
          <w:iCs/>
          <w:color w:val="262626"/>
          <w:spacing w:val="-59"/>
          <w:kern w:val="0"/>
          <w:sz w:val="24"/>
          <w:szCs w:val="24"/>
        </w:rPr>
        <w:t xml:space="preserve"> </w:t>
      </w:r>
      <w:r>
        <w:rPr>
          <w:rFonts w:eastAsia="Calibri" w:cs="Arial"/>
          <w:i/>
          <w:iCs/>
          <w:color w:val="262626"/>
          <w:kern w:val="0"/>
          <w:sz w:val="24"/>
          <w:szCs w:val="24"/>
        </w:rPr>
        <w:t>creed,</w:t>
      </w:r>
      <w:r>
        <w:rPr>
          <w:rFonts w:eastAsia="Calibri" w:cs="Arial"/>
          <w:i/>
          <w:iCs/>
          <w:color w:val="262626"/>
          <w:spacing w:val="-2"/>
          <w:kern w:val="0"/>
          <w:sz w:val="24"/>
          <w:szCs w:val="24"/>
        </w:rPr>
        <w:t xml:space="preserve"> </w:t>
      </w:r>
      <w:r>
        <w:rPr>
          <w:rFonts w:eastAsia="Calibri" w:cs="Arial"/>
          <w:i/>
          <w:iCs/>
          <w:color w:val="262626"/>
          <w:kern w:val="0"/>
          <w:sz w:val="24"/>
          <w:szCs w:val="24"/>
        </w:rPr>
        <w:t>colour,</w:t>
      </w:r>
      <w:r>
        <w:rPr>
          <w:rFonts w:eastAsia="Calibri" w:cs="Arial"/>
          <w:i/>
          <w:iCs/>
          <w:color w:val="262626"/>
          <w:spacing w:val="2"/>
          <w:kern w:val="0"/>
          <w:sz w:val="24"/>
          <w:szCs w:val="24"/>
        </w:rPr>
        <w:t xml:space="preserve"> </w:t>
      </w:r>
      <w:r>
        <w:rPr>
          <w:rFonts w:eastAsia="Calibri" w:cs="Arial"/>
          <w:i/>
          <w:iCs/>
          <w:color w:val="262626"/>
          <w:kern w:val="0"/>
          <w:sz w:val="24"/>
          <w:szCs w:val="24"/>
        </w:rPr>
        <w:t>nationality,</w:t>
      </w:r>
      <w:r>
        <w:rPr>
          <w:rFonts w:eastAsia="Calibri" w:cs="Arial"/>
          <w:i/>
          <w:iCs/>
          <w:color w:val="262626"/>
          <w:spacing w:val="2"/>
          <w:kern w:val="0"/>
          <w:sz w:val="24"/>
          <w:szCs w:val="24"/>
        </w:rPr>
        <w:t xml:space="preserve"> </w:t>
      </w:r>
      <w:r>
        <w:rPr>
          <w:rFonts w:eastAsia="Calibri" w:cs="Arial"/>
          <w:i/>
          <w:iCs/>
          <w:color w:val="262626"/>
          <w:kern w:val="0"/>
          <w:sz w:val="24"/>
          <w:szCs w:val="24"/>
        </w:rPr>
        <w:t>ethnic</w:t>
      </w:r>
      <w:r>
        <w:rPr>
          <w:rFonts w:eastAsia="Calibri" w:cs="Arial"/>
          <w:i/>
          <w:iCs/>
          <w:color w:val="262626"/>
          <w:spacing w:val="1"/>
          <w:kern w:val="0"/>
          <w:sz w:val="24"/>
          <w:szCs w:val="24"/>
        </w:rPr>
        <w:t xml:space="preserve"> </w:t>
      </w:r>
      <w:r>
        <w:rPr>
          <w:rFonts w:eastAsia="Calibri" w:cs="Arial"/>
          <w:i/>
          <w:iCs/>
          <w:color w:val="262626"/>
          <w:kern w:val="0"/>
          <w:sz w:val="24"/>
          <w:szCs w:val="24"/>
        </w:rPr>
        <w:t>origin</w:t>
      </w:r>
      <w:r>
        <w:rPr>
          <w:rFonts w:eastAsia="Calibri" w:cs="Arial"/>
          <w:i/>
          <w:iCs/>
          <w:color w:val="262626"/>
          <w:spacing w:val="1"/>
          <w:kern w:val="0"/>
          <w:sz w:val="24"/>
          <w:szCs w:val="24"/>
        </w:rPr>
        <w:t xml:space="preserve"> </w:t>
      </w:r>
      <w:r>
        <w:rPr>
          <w:rFonts w:eastAsia="Calibri" w:cs="Arial"/>
          <w:i/>
          <w:iCs/>
          <w:color w:val="262626"/>
          <w:kern w:val="0"/>
          <w:sz w:val="24"/>
          <w:szCs w:val="24"/>
        </w:rPr>
        <w:t>or</w:t>
      </w:r>
      <w:r>
        <w:rPr>
          <w:rFonts w:eastAsia="Calibri" w:cs="Arial"/>
          <w:i/>
          <w:iCs/>
          <w:color w:val="262626"/>
          <w:spacing w:val="-2"/>
          <w:kern w:val="0"/>
          <w:sz w:val="24"/>
          <w:szCs w:val="24"/>
        </w:rPr>
        <w:t xml:space="preserve"> </w:t>
      </w:r>
      <w:r>
        <w:rPr>
          <w:rFonts w:eastAsia="Calibri" w:cs="Arial"/>
          <w:i/>
          <w:iCs/>
          <w:color w:val="262626"/>
          <w:kern w:val="0"/>
          <w:sz w:val="24"/>
          <w:szCs w:val="24"/>
        </w:rPr>
        <w:t>disability.</w:t>
        <w:br/>
      </w:r>
    </w:p>
    <w:p>
      <w:pPr>
        <w:pStyle w:val="Normal"/>
        <w:widowControl w:val="false"/>
        <w:spacing w:lineRule="auto" w:line="240" w:before="0" w:after="0"/>
        <w:rPr/>
      </w:pPr>
      <w:r>
        <w:rPr>
          <w:rFonts w:eastAsia="Calibri" w:cs="Arial"/>
          <w:i/>
          <w:iCs/>
          <w:color w:val="262626"/>
          <w:kern w:val="0"/>
          <w:sz w:val="24"/>
          <w:szCs w:val="24"/>
        </w:rPr>
        <w:t xml:space="preserve">Safeguard at all times confidentiality of information relating to staff and pensioners. </w:t>
      </w:r>
      <w:r>
        <w:rPr>
          <w:rFonts w:eastAsia="Calibri" w:cs="Arial"/>
          <w:i/>
          <w:iCs/>
          <w:color w:val="262626"/>
          <w:spacing w:val="-59"/>
          <w:kern w:val="0"/>
          <w:sz w:val="24"/>
          <w:szCs w:val="24"/>
        </w:rPr>
        <w:t xml:space="preserve"> </w:t>
      </w:r>
      <w:r>
        <w:rPr>
          <w:rFonts w:eastAsia="Calibri" w:cs="Arial"/>
          <w:i/>
          <w:iCs/>
          <w:color w:val="262626"/>
          <w:kern w:val="0"/>
          <w:sz w:val="24"/>
          <w:szCs w:val="24"/>
        </w:rPr>
        <w:t>Refrain</w:t>
      </w:r>
      <w:r>
        <w:rPr>
          <w:rFonts w:eastAsia="Calibri" w:cs="Arial"/>
          <w:i/>
          <w:iCs/>
          <w:color w:val="262626"/>
          <w:spacing w:val="-3"/>
          <w:kern w:val="0"/>
          <w:sz w:val="24"/>
          <w:szCs w:val="24"/>
        </w:rPr>
        <w:t xml:space="preserve"> </w:t>
      </w:r>
      <w:r>
        <w:rPr>
          <w:rFonts w:eastAsia="Calibri" w:cs="Arial"/>
          <w:i/>
          <w:iCs/>
          <w:color w:val="262626"/>
          <w:kern w:val="0"/>
          <w:sz w:val="24"/>
          <w:szCs w:val="24"/>
        </w:rPr>
        <w:t>from</w:t>
      </w:r>
      <w:r>
        <w:rPr>
          <w:rFonts w:eastAsia="Calibri" w:cs="Arial"/>
          <w:i/>
          <w:iCs/>
          <w:color w:val="262626"/>
          <w:spacing w:val="2"/>
          <w:kern w:val="0"/>
          <w:sz w:val="24"/>
          <w:szCs w:val="24"/>
        </w:rPr>
        <w:t xml:space="preserve"> </w:t>
      </w:r>
      <w:r>
        <w:rPr>
          <w:rFonts w:eastAsia="Calibri" w:cs="Arial"/>
          <w:i/>
          <w:iCs/>
          <w:color w:val="262626"/>
          <w:kern w:val="0"/>
          <w:sz w:val="24"/>
          <w:szCs w:val="24"/>
        </w:rPr>
        <w:t>smoking</w:t>
      </w:r>
      <w:r>
        <w:rPr>
          <w:rFonts w:eastAsia="Calibri" w:cs="Arial"/>
          <w:i/>
          <w:iCs/>
          <w:color w:val="262626"/>
          <w:spacing w:val="4"/>
          <w:kern w:val="0"/>
          <w:sz w:val="24"/>
          <w:szCs w:val="24"/>
        </w:rPr>
        <w:t xml:space="preserve"> </w:t>
      </w:r>
      <w:r>
        <w:rPr>
          <w:rFonts w:eastAsia="Calibri" w:cs="Arial"/>
          <w:i/>
          <w:iCs/>
          <w:color w:val="262626"/>
          <w:kern w:val="0"/>
          <w:sz w:val="24"/>
          <w:szCs w:val="24"/>
        </w:rPr>
        <w:t>in</w:t>
      </w:r>
      <w:r>
        <w:rPr>
          <w:rFonts w:eastAsia="Calibri" w:cs="Arial"/>
          <w:i/>
          <w:iCs/>
          <w:color w:val="262626"/>
          <w:spacing w:val="-5"/>
          <w:kern w:val="0"/>
          <w:sz w:val="24"/>
          <w:szCs w:val="24"/>
        </w:rPr>
        <w:t xml:space="preserve"> </w:t>
      </w:r>
      <w:r>
        <w:rPr>
          <w:rFonts w:eastAsia="Calibri" w:cs="Arial"/>
          <w:i/>
          <w:iCs/>
          <w:color w:val="262626"/>
          <w:kern w:val="0"/>
          <w:sz w:val="24"/>
          <w:szCs w:val="24"/>
        </w:rPr>
        <w:t>any</w:t>
      </w:r>
      <w:r>
        <w:rPr>
          <w:rFonts w:eastAsia="Calibri" w:cs="Arial"/>
          <w:i/>
          <w:iCs/>
          <w:color w:val="262626"/>
          <w:spacing w:val="-1"/>
          <w:kern w:val="0"/>
          <w:sz w:val="24"/>
          <w:szCs w:val="24"/>
        </w:rPr>
        <w:t xml:space="preserve"> </w:t>
      </w:r>
      <w:r>
        <w:rPr>
          <w:rFonts w:eastAsia="Calibri" w:cs="Arial"/>
          <w:i/>
          <w:iCs/>
          <w:color w:val="262626"/>
          <w:kern w:val="0"/>
          <w:sz w:val="24"/>
          <w:szCs w:val="24"/>
        </w:rPr>
        <w:t>areas</w:t>
      </w:r>
      <w:r>
        <w:rPr>
          <w:rFonts w:eastAsia="Calibri" w:cs="Arial"/>
          <w:i/>
          <w:iCs/>
          <w:color w:val="262626"/>
          <w:spacing w:val="1"/>
          <w:kern w:val="0"/>
          <w:sz w:val="24"/>
          <w:szCs w:val="24"/>
        </w:rPr>
        <w:t xml:space="preserve"> </w:t>
      </w:r>
      <w:r>
        <w:rPr>
          <w:rFonts w:eastAsia="Calibri" w:cs="Arial"/>
          <w:i/>
          <w:iCs/>
          <w:color w:val="262626"/>
          <w:kern w:val="0"/>
          <w:sz w:val="24"/>
          <w:szCs w:val="24"/>
        </w:rPr>
        <w:t>of</w:t>
      </w:r>
      <w:r>
        <w:rPr>
          <w:rFonts w:eastAsia="Calibri" w:cs="Arial"/>
          <w:i/>
          <w:iCs/>
          <w:color w:val="262626"/>
          <w:spacing w:val="1"/>
          <w:kern w:val="0"/>
          <w:sz w:val="24"/>
          <w:szCs w:val="24"/>
        </w:rPr>
        <w:t xml:space="preserve"> </w:t>
      </w:r>
      <w:r>
        <w:rPr>
          <w:rFonts w:eastAsia="Calibri" w:cs="Arial"/>
          <w:i/>
          <w:iCs/>
          <w:color w:val="262626"/>
          <w:kern w:val="0"/>
          <w:sz w:val="24"/>
          <w:szCs w:val="24"/>
        </w:rPr>
        <w:t>Service</w:t>
      </w:r>
      <w:r>
        <w:rPr>
          <w:rFonts w:eastAsia="Calibri" w:cs="Arial"/>
          <w:i/>
          <w:iCs/>
          <w:color w:val="262626"/>
          <w:spacing w:val="1"/>
          <w:kern w:val="0"/>
          <w:sz w:val="24"/>
          <w:szCs w:val="24"/>
        </w:rPr>
        <w:t xml:space="preserve"> </w:t>
      </w:r>
      <w:r>
        <w:rPr>
          <w:rFonts w:eastAsia="Calibri" w:cs="Arial"/>
          <w:i/>
          <w:iCs/>
          <w:color w:val="262626"/>
          <w:kern w:val="0"/>
          <w:sz w:val="24"/>
          <w:szCs w:val="24"/>
        </w:rPr>
        <w:t>premises.</w:t>
      </w:r>
    </w:p>
    <w:p>
      <w:pPr>
        <w:pStyle w:val="Normal"/>
        <w:widowControl w:val="false"/>
        <w:spacing w:lineRule="auto" w:line="240" w:before="0" w:after="0"/>
        <w:rPr/>
      </w:pPr>
      <w:r>
        <w:rPr>
          <w:rFonts w:eastAsia="Calibri" w:cs="Arial"/>
          <w:i/>
          <w:iCs/>
          <w:color w:val="262626"/>
          <w:kern w:val="0"/>
          <w:sz w:val="24"/>
          <w:szCs w:val="24"/>
        </w:rPr>
        <w:t>Behave in a manner that ensures the security of property and resources.</w:t>
      </w:r>
      <w:r>
        <w:rPr>
          <w:rFonts w:eastAsia="Calibri" w:cs="Arial"/>
          <w:i/>
          <w:iCs/>
          <w:color w:val="262626"/>
          <w:spacing w:val="-59"/>
          <w:kern w:val="0"/>
          <w:sz w:val="24"/>
          <w:szCs w:val="24"/>
        </w:rPr>
        <w:t xml:space="preserve"> </w:t>
      </w:r>
      <w:r>
        <w:rPr>
          <w:rFonts w:eastAsia="Calibri" w:cs="Arial"/>
          <w:i/>
          <w:iCs/>
          <w:color w:val="262626"/>
          <w:kern w:val="0"/>
          <w:sz w:val="24"/>
          <w:szCs w:val="24"/>
        </w:rPr>
        <w:t>Abide</w:t>
      </w:r>
      <w:r>
        <w:rPr>
          <w:rFonts w:eastAsia="Calibri" w:cs="Arial"/>
          <w:i/>
          <w:iCs/>
          <w:color w:val="262626"/>
          <w:spacing w:val="-1"/>
          <w:kern w:val="0"/>
          <w:sz w:val="24"/>
          <w:szCs w:val="24"/>
        </w:rPr>
        <w:t xml:space="preserve"> </w:t>
      </w:r>
      <w:r>
        <w:rPr>
          <w:rFonts w:eastAsia="Calibri" w:cs="Arial"/>
          <w:i/>
          <w:iCs/>
          <w:color w:val="262626"/>
          <w:kern w:val="0"/>
          <w:sz w:val="24"/>
          <w:szCs w:val="24"/>
        </w:rPr>
        <w:t>by</w:t>
      </w:r>
      <w:r>
        <w:rPr>
          <w:rFonts w:eastAsia="Calibri" w:cs="Arial"/>
          <w:i/>
          <w:iCs/>
          <w:color w:val="262626"/>
          <w:spacing w:val="-2"/>
          <w:kern w:val="0"/>
          <w:sz w:val="24"/>
          <w:szCs w:val="24"/>
        </w:rPr>
        <w:t xml:space="preserve"> </w:t>
      </w:r>
      <w:r>
        <w:rPr>
          <w:rFonts w:eastAsia="Calibri" w:cs="Arial"/>
          <w:i/>
          <w:iCs/>
          <w:color w:val="262626"/>
          <w:kern w:val="0"/>
          <w:sz w:val="24"/>
          <w:szCs w:val="24"/>
        </w:rPr>
        <w:t>all relevant</w:t>
      </w:r>
      <w:r>
        <w:rPr>
          <w:rFonts w:eastAsia="Calibri" w:cs="Arial"/>
          <w:i/>
          <w:iCs/>
          <w:color w:val="262626"/>
          <w:spacing w:val="1"/>
          <w:kern w:val="0"/>
          <w:sz w:val="24"/>
          <w:szCs w:val="24"/>
        </w:rPr>
        <w:t xml:space="preserve"> </w:t>
      </w:r>
      <w:r>
        <w:rPr>
          <w:rFonts w:eastAsia="Calibri" w:cs="Arial"/>
          <w:i/>
          <w:iCs/>
          <w:color w:val="262626"/>
          <w:kern w:val="0"/>
          <w:sz w:val="24"/>
          <w:szCs w:val="24"/>
        </w:rPr>
        <w:t>Service</w:t>
      </w:r>
      <w:r>
        <w:rPr>
          <w:rFonts w:eastAsia="Calibri" w:cs="Arial"/>
          <w:i/>
          <w:iCs/>
          <w:color w:val="262626"/>
          <w:spacing w:val="1"/>
          <w:kern w:val="0"/>
          <w:sz w:val="24"/>
          <w:szCs w:val="24"/>
        </w:rPr>
        <w:t xml:space="preserve"> </w:t>
      </w:r>
      <w:r>
        <w:rPr>
          <w:rFonts w:eastAsia="Calibri" w:cs="Arial"/>
          <w:i/>
          <w:iCs/>
          <w:color w:val="262626"/>
          <w:kern w:val="0"/>
          <w:sz w:val="24"/>
          <w:szCs w:val="24"/>
        </w:rPr>
        <w:t>Policies and Procedures.</w:t>
        <w:br/>
      </w:r>
    </w:p>
    <w:p>
      <w:pPr>
        <w:pStyle w:val="Normal"/>
        <w:widowControl w:val="false"/>
        <w:spacing w:lineRule="auto" w:line="240" w:before="0" w:after="0"/>
        <w:rPr/>
      </w:pPr>
      <w:r>
        <w:rPr>
          <w:rFonts w:eastAsia="Calibri" w:cs="Arial"/>
          <w:b/>
          <w:bCs/>
          <w:i/>
          <w:iCs/>
          <w:color w:val="262626"/>
          <w:kern w:val="0"/>
          <w:sz w:val="24"/>
          <w:szCs w:val="24"/>
        </w:rPr>
        <w:t>Records Management / Data Protection</w:t>
      </w:r>
      <w:r>
        <w:rPr>
          <w:rFonts w:eastAsia="Calibri" w:cs="Arial"/>
          <w:i/>
          <w:iCs/>
          <w:color w:val="262626"/>
          <w:kern w:val="0"/>
          <w:sz w:val="24"/>
          <w:szCs w:val="24"/>
        </w:rPr>
        <w:t xml:space="preserve"> - As an employee of the GMCA, you have a legal</w:t>
      </w:r>
      <w:r>
        <w:rPr>
          <w:rFonts w:eastAsia="Calibri" w:cs="Arial"/>
          <w:i/>
          <w:iCs/>
          <w:color w:val="262626"/>
          <w:spacing w:val="1"/>
          <w:kern w:val="0"/>
          <w:sz w:val="24"/>
          <w:szCs w:val="24"/>
        </w:rPr>
        <w:t xml:space="preserve"> </w:t>
      </w:r>
      <w:r>
        <w:rPr>
          <w:rFonts w:eastAsia="Calibri" w:cs="Arial"/>
          <w:i/>
          <w:iCs/>
          <w:color w:val="262626"/>
          <w:spacing w:val="-1"/>
          <w:kern w:val="0"/>
          <w:sz w:val="24"/>
          <w:szCs w:val="24"/>
        </w:rPr>
        <w:t>responsibility</w:t>
      </w:r>
      <w:r>
        <w:rPr>
          <w:rFonts w:eastAsia="Calibri" w:cs="Arial"/>
          <w:i/>
          <w:iCs/>
          <w:color w:val="262626"/>
          <w:spacing w:val="-16"/>
          <w:kern w:val="0"/>
          <w:sz w:val="24"/>
          <w:szCs w:val="24"/>
        </w:rPr>
        <w:t xml:space="preserve"> </w:t>
      </w:r>
      <w:r>
        <w:rPr>
          <w:rFonts w:eastAsia="Calibri" w:cs="Arial"/>
          <w:i/>
          <w:iCs/>
          <w:color w:val="262626"/>
          <w:spacing w:val="-1"/>
          <w:kern w:val="0"/>
          <w:sz w:val="24"/>
          <w:szCs w:val="24"/>
        </w:rPr>
        <w:t>for</w:t>
      </w:r>
      <w:r>
        <w:rPr>
          <w:rFonts w:eastAsia="Calibri" w:cs="Arial"/>
          <w:i/>
          <w:iCs/>
          <w:color w:val="262626"/>
          <w:spacing w:val="-15"/>
          <w:kern w:val="0"/>
          <w:sz w:val="24"/>
          <w:szCs w:val="24"/>
        </w:rPr>
        <w:t xml:space="preserve"> </w:t>
      </w:r>
      <w:r>
        <w:rPr>
          <w:rFonts w:eastAsia="Calibri" w:cs="Arial"/>
          <w:i/>
          <w:iCs/>
          <w:color w:val="262626"/>
          <w:spacing w:val="-1"/>
          <w:kern w:val="0"/>
          <w:sz w:val="24"/>
          <w:szCs w:val="24"/>
        </w:rPr>
        <w:t>all</w:t>
      </w:r>
      <w:r>
        <w:rPr>
          <w:rFonts w:eastAsia="Calibri" w:cs="Arial"/>
          <w:i/>
          <w:iCs/>
          <w:color w:val="262626"/>
          <w:spacing w:val="-14"/>
          <w:kern w:val="0"/>
          <w:sz w:val="24"/>
          <w:szCs w:val="24"/>
        </w:rPr>
        <w:t xml:space="preserve"> </w:t>
      </w:r>
      <w:r>
        <w:rPr>
          <w:rFonts w:eastAsia="Calibri" w:cs="Arial"/>
          <w:i/>
          <w:iCs/>
          <w:color w:val="262626"/>
          <w:spacing w:val="-1"/>
          <w:kern w:val="0"/>
          <w:sz w:val="24"/>
          <w:szCs w:val="24"/>
        </w:rPr>
        <w:t>records</w:t>
      </w:r>
      <w:r>
        <w:rPr>
          <w:rFonts w:eastAsia="Calibri" w:cs="Arial"/>
          <w:i/>
          <w:iCs/>
          <w:color w:val="262626"/>
          <w:spacing w:val="-13"/>
          <w:kern w:val="0"/>
          <w:sz w:val="24"/>
          <w:szCs w:val="24"/>
        </w:rPr>
        <w:t xml:space="preserve"> </w:t>
      </w:r>
      <w:r>
        <w:rPr>
          <w:rFonts w:eastAsia="Calibri" w:cs="Arial"/>
          <w:i/>
          <w:iCs/>
          <w:color w:val="262626"/>
          <w:kern w:val="0"/>
          <w:sz w:val="24"/>
          <w:szCs w:val="24"/>
        </w:rPr>
        <w:t>(including</w:t>
      </w:r>
      <w:r>
        <w:rPr>
          <w:rFonts w:eastAsia="Calibri" w:cs="Arial"/>
          <w:i/>
          <w:iCs/>
          <w:color w:val="262626"/>
          <w:spacing w:val="-11"/>
          <w:kern w:val="0"/>
          <w:sz w:val="24"/>
          <w:szCs w:val="24"/>
        </w:rPr>
        <w:t xml:space="preserve"> </w:t>
      </w:r>
      <w:r>
        <w:rPr>
          <w:rFonts w:eastAsia="Calibri" w:cs="Arial"/>
          <w:i/>
          <w:iCs/>
          <w:color w:val="262626"/>
          <w:kern w:val="0"/>
          <w:sz w:val="24"/>
          <w:szCs w:val="24"/>
        </w:rPr>
        <w:t>employee</w:t>
      </w:r>
      <w:r>
        <w:rPr>
          <w:rFonts w:eastAsia="Calibri" w:cs="Arial"/>
          <w:i/>
          <w:iCs/>
          <w:color w:val="262626"/>
          <w:spacing w:val="-13"/>
          <w:kern w:val="0"/>
          <w:sz w:val="24"/>
          <w:szCs w:val="24"/>
        </w:rPr>
        <w:t xml:space="preserve"> </w:t>
      </w:r>
      <w:r>
        <w:rPr>
          <w:rFonts w:eastAsia="Calibri" w:cs="Arial"/>
          <w:i/>
          <w:iCs/>
          <w:color w:val="262626"/>
          <w:kern w:val="0"/>
          <w:sz w:val="24"/>
          <w:szCs w:val="24"/>
        </w:rPr>
        <w:t>health,</w:t>
      </w:r>
      <w:r>
        <w:rPr>
          <w:rFonts w:eastAsia="Calibri" w:cs="Arial"/>
          <w:i/>
          <w:iCs/>
          <w:color w:val="262626"/>
          <w:spacing w:val="-15"/>
          <w:kern w:val="0"/>
          <w:sz w:val="24"/>
          <w:szCs w:val="24"/>
        </w:rPr>
        <w:t xml:space="preserve"> </w:t>
      </w:r>
      <w:r>
        <w:rPr>
          <w:rFonts w:eastAsia="Calibri" w:cs="Arial"/>
          <w:i/>
          <w:iCs/>
          <w:color w:val="262626"/>
          <w:kern w:val="0"/>
          <w:sz w:val="24"/>
          <w:szCs w:val="24"/>
        </w:rPr>
        <w:t>financial,</w:t>
      </w:r>
      <w:r>
        <w:rPr>
          <w:rFonts w:eastAsia="Calibri" w:cs="Arial"/>
          <w:i/>
          <w:iCs/>
          <w:color w:val="262626"/>
          <w:spacing w:val="-14"/>
          <w:kern w:val="0"/>
          <w:sz w:val="24"/>
          <w:szCs w:val="24"/>
        </w:rPr>
        <w:t xml:space="preserve"> </w:t>
      </w:r>
      <w:r>
        <w:rPr>
          <w:rFonts w:eastAsia="Calibri" w:cs="Arial"/>
          <w:i/>
          <w:iCs/>
          <w:color w:val="262626"/>
          <w:kern w:val="0"/>
          <w:sz w:val="24"/>
          <w:szCs w:val="24"/>
        </w:rPr>
        <w:t>personal</w:t>
      </w:r>
      <w:r>
        <w:rPr>
          <w:rFonts w:eastAsia="Calibri" w:cs="Arial"/>
          <w:i/>
          <w:iCs/>
          <w:color w:val="262626"/>
          <w:spacing w:val="-17"/>
          <w:kern w:val="0"/>
          <w:sz w:val="24"/>
          <w:szCs w:val="24"/>
        </w:rPr>
        <w:t xml:space="preserve"> </w:t>
      </w:r>
      <w:r>
        <w:rPr>
          <w:rFonts w:eastAsia="Calibri" w:cs="Arial"/>
          <w:i/>
          <w:iCs/>
          <w:color w:val="262626"/>
          <w:kern w:val="0"/>
          <w:sz w:val="24"/>
          <w:szCs w:val="24"/>
        </w:rPr>
        <w:t>and</w:t>
      </w:r>
      <w:r>
        <w:rPr>
          <w:rFonts w:eastAsia="Calibri" w:cs="Arial"/>
          <w:i/>
          <w:iCs/>
          <w:color w:val="262626"/>
          <w:spacing w:val="-13"/>
          <w:kern w:val="0"/>
          <w:sz w:val="24"/>
          <w:szCs w:val="24"/>
        </w:rPr>
        <w:t xml:space="preserve"> </w:t>
      </w:r>
      <w:r>
        <w:rPr>
          <w:rFonts w:eastAsia="Calibri" w:cs="Arial"/>
          <w:i/>
          <w:iCs/>
          <w:color w:val="262626"/>
          <w:kern w:val="0"/>
          <w:sz w:val="24"/>
          <w:szCs w:val="24"/>
        </w:rPr>
        <w:t>administrative)</w:t>
      </w:r>
      <w:r>
        <w:rPr>
          <w:rFonts w:eastAsia="Calibri" w:cs="Arial"/>
          <w:i/>
          <w:iCs/>
          <w:color w:val="262626"/>
          <w:spacing w:val="-58"/>
          <w:kern w:val="0"/>
          <w:sz w:val="24"/>
          <w:szCs w:val="24"/>
        </w:rPr>
        <w:t xml:space="preserve"> </w:t>
      </w:r>
      <w:r>
        <w:rPr>
          <w:rFonts w:eastAsia="Calibri" w:cs="Arial"/>
          <w:i/>
          <w:iCs/>
          <w:color w:val="262626"/>
          <w:kern w:val="0"/>
          <w:sz w:val="24"/>
          <w:szCs w:val="24"/>
        </w:rPr>
        <w:t>that you gather or use as part of your work with the Service. The records may be paper,</w:t>
      </w:r>
      <w:r>
        <w:rPr>
          <w:rFonts w:eastAsia="Calibri" w:cs="Arial"/>
          <w:i/>
          <w:iCs/>
          <w:color w:val="262626"/>
          <w:spacing w:val="1"/>
          <w:kern w:val="0"/>
          <w:sz w:val="24"/>
          <w:szCs w:val="24"/>
        </w:rPr>
        <w:t xml:space="preserve"> </w:t>
      </w:r>
      <w:r>
        <w:rPr>
          <w:rFonts w:eastAsia="Calibri" w:cs="Arial"/>
          <w:i/>
          <w:iCs/>
          <w:color w:val="262626"/>
          <w:kern w:val="0"/>
          <w:sz w:val="24"/>
          <w:szCs w:val="24"/>
        </w:rPr>
        <w:t>electronic, audio or videotapes. You must consult your manager if you have any doubt as to</w:t>
      </w:r>
      <w:r>
        <w:rPr>
          <w:rFonts w:eastAsia="Calibri" w:cs="Arial"/>
          <w:i/>
          <w:iCs/>
          <w:color w:val="262626"/>
          <w:spacing w:val="1"/>
          <w:kern w:val="0"/>
          <w:sz w:val="24"/>
          <w:szCs w:val="24"/>
        </w:rPr>
        <w:t xml:space="preserve"> </w:t>
      </w:r>
      <w:r>
        <w:rPr>
          <w:rFonts w:eastAsia="Calibri" w:cs="Arial"/>
          <w:i/>
          <w:iCs/>
          <w:color w:val="262626"/>
          <w:kern w:val="0"/>
          <w:sz w:val="24"/>
          <w:szCs w:val="24"/>
        </w:rPr>
        <w:t>the</w:t>
      </w:r>
      <w:r>
        <w:rPr>
          <w:rFonts w:eastAsia="Calibri" w:cs="Arial"/>
          <w:i/>
          <w:iCs/>
          <w:color w:val="262626"/>
          <w:spacing w:val="-1"/>
          <w:kern w:val="0"/>
          <w:sz w:val="24"/>
          <w:szCs w:val="24"/>
        </w:rPr>
        <w:t xml:space="preserve"> </w:t>
      </w:r>
      <w:r>
        <w:rPr>
          <w:rFonts w:eastAsia="Calibri" w:cs="Arial"/>
          <w:i/>
          <w:iCs/>
          <w:color w:val="262626"/>
          <w:kern w:val="0"/>
          <w:sz w:val="24"/>
          <w:szCs w:val="24"/>
        </w:rPr>
        <w:t>correct management</w:t>
      </w:r>
      <w:r>
        <w:rPr>
          <w:rFonts w:eastAsia="Calibri" w:cs="Arial"/>
          <w:i/>
          <w:iCs/>
          <w:color w:val="262626"/>
          <w:spacing w:val="-2"/>
          <w:kern w:val="0"/>
          <w:sz w:val="24"/>
          <w:szCs w:val="24"/>
        </w:rPr>
        <w:t xml:space="preserve"> </w:t>
      </w:r>
      <w:r>
        <w:rPr>
          <w:rFonts w:eastAsia="Calibri" w:cs="Arial"/>
          <w:i/>
          <w:iCs/>
          <w:color w:val="262626"/>
          <w:kern w:val="0"/>
          <w:sz w:val="24"/>
          <w:szCs w:val="24"/>
        </w:rPr>
        <w:t>of</w:t>
      </w:r>
      <w:r>
        <w:rPr>
          <w:rFonts w:eastAsia="Calibri" w:cs="Arial"/>
          <w:i/>
          <w:iCs/>
          <w:color w:val="262626"/>
          <w:spacing w:val="2"/>
          <w:kern w:val="0"/>
          <w:sz w:val="24"/>
          <w:szCs w:val="24"/>
        </w:rPr>
        <w:t xml:space="preserve"> </w:t>
      </w:r>
      <w:r>
        <w:rPr>
          <w:rFonts w:eastAsia="Calibri" w:cs="Arial"/>
          <w:i/>
          <w:iCs/>
          <w:color w:val="262626"/>
          <w:kern w:val="0"/>
          <w:sz w:val="24"/>
          <w:szCs w:val="24"/>
        </w:rPr>
        <w:t>the</w:t>
      </w:r>
      <w:r>
        <w:rPr>
          <w:rFonts w:eastAsia="Calibri" w:cs="Arial"/>
          <w:i/>
          <w:iCs/>
          <w:color w:val="262626"/>
          <w:spacing w:val="-3"/>
          <w:kern w:val="0"/>
          <w:sz w:val="24"/>
          <w:szCs w:val="24"/>
        </w:rPr>
        <w:t xml:space="preserve"> </w:t>
      </w:r>
      <w:r>
        <w:rPr>
          <w:rFonts w:eastAsia="Calibri" w:cs="Arial"/>
          <w:i/>
          <w:iCs/>
          <w:color w:val="262626"/>
          <w:kern w:val="0"/>
          <w:sz w:val="24"/>
          <w:szCs w:val="24"/>
        </w:rPr>
        <w:t>records</w:t>
      </w:r>
      <w:r>
        <w:rPr>
          <w:rFonts w:eastAsia="Calibri" w:cs="Arial"/>
          <w:i/>
          <w:iCs/>
          <w:color w:val="262626"/>
          <w:spacing w:val="-2"/>
          <w:kern w:val="0"/>
          <w:sz w:val="24"/>
          <w:szCs w:val="24"/>
        </w:rPr>
        <w:t xml:space="preserve"> </w:t>
      </w:r>
      <w:r>
        <w:rPr>
          <w:rFonts w:eastAsia="Calibri" w:cs="Arial"/>
          <w:i/>
          <w:iCs/>
          <w:color w:val="262626"/>
          <w:kern w:val="0"/>
          <w:sz w:val="24"/>
          <w:szCs w:val="24"/>
        </w:rPr>
        <w:t>with</w:t>
      </w:r>
      <w:r>
        <w:rPr>
          <w:rFonts w:eastAsia="Calibri" w:cs="Arial"/>
          <w:i/>
          <w:iCs/>
          <w:color w:val="262626"/>
          <w:spacing w:val="1"/>
          <w:kern w:val="0"/>
          <w:sz w:val="24"/>
          <w:szCs w:val="24"/>
        </w:rPr>
        <w:t xml:space="preserve"> </w:t>
      </w:r>
      <w:r>
        <w:rPr>
          <w:rFonts w:eastAsia="Calibri" w:cs="Arial"/>
          <w:i/>
          <w:iCs/>
          <w:color w:val="262626"/>
          <w:kern w:val="0"/>
          <w:sz w:val="24"/>
          <w:szCs w:val="24"/>
        </w:rPr>
        <w:t>which</w:t>
      </w:r>
      <w:r>
        <w:rPr>
          <w:rFonts w:eastAsia="Calibri" w:cs="Arial"/>
          <w:i/>
          <w:iCs/>
          <w:color w:val="262626"/>
          <w:spacing w:val="2"/>
          <w:kern w:val="0"/>
          <w:sz w:val="24"/>
          <w:szCs w:val="24"/>
        </w:rPr>
        <w:t xml:space="preserve"> </w:t>
      </w:r>
      <w:r>
        <w:rPr>
          <w:rFonts w:eastAsia="Calibri" w:cs="Arial"/>
          <w:i/>
          <w:iCs/>
          <w:color w:val="262626"/>
          <w:kern w:val="0"/>
          <w:sz w:val="24"/>
          <w:szCs w:val="24"/>
        </w:rPr>
        <w:t>you work.</w:t>
        <w:br/>
      </w:r>
    </w:p>
    <w:p>
      <w:pPr>
        <w:pStyle w:val="Normal"/>
        <w:widowControl w:val="false"/>
        <w:spacing w:lineRule="auto" w:line="240" w:before="0" w:after="0"/>
        <w:rPr/>
      </w:pPr>
      <w:r>
        <w:rPr>
          <w:rFonts w:eastAsia="Calibri" w:cs="Arial"/>
          <w:b/>
          <w:bCs/>
          <w:i/>
          <w:iCs/>
          <w:color w:val="262626"/>
          <w:spacing w:val="-1"/>
          <w:kern w:val="0"/>
          <w:sz w:val="24"/>
          <w:szCs w:val="24"/>
        </w:rPr>
        <w:t>Confidentiality</w:t>
      </w:r>
      <w:r>
        <w:rPr>
          <w:rFonts w:eastAsia="Calibri" w:cs="Arial"/>
          <w:b/>
          <w:bCs/>
          <w:i/>
          <w:iCs/>
          <w:color w:val="262626"/>
          <w:spacing w:val="-15"/>
          <w:kern w:val="0"/>
          <w:sz w:val="24"/>
          <w:szCs w:val="24"/>
        </w:rPr>
        <w:t xml:space="preserve"> </w:t>
      </w:r>
      <w:r>
        <w:rPr>
          <w:rFonts w:eastAsia="Calibri" w:cs="Arial"/>
          <w:b/>
          <w:bCs/>
          <w:i/>
          <w:iCs/>
          <w:color w:val="262626"/>
          <w:kern w:val="0"/>
          <w:sz w:val="24"/>
          <w:szCs w:val="24"/>
        </w:rPr>
        <w:t>and</w:t>
      </w:r>
      <w:r>
        <w:rPr>
          <w:rFonts w:eastAsia="Calibri" w:cs="Arial"/>
          <w:b/>
          <w:bCs/>
          <w:i/>
          <w:iCs/>
          <w:color w:val="262626"/>
          <w:spacing w:val="-12"/>
          <w:kern w:val="0"/>
          <w:sz w:val="24"/>
          <w:szCs w:val="24"/>
        </w:rPr>
        <w:t xml:space="preserve"> </w:t>
      </w:r>
      <w:r>
        <w:rPr>
          <w:rFonts w:eastAsia="Calibri" w:cs="Arial"/>
          <w:b/>
          <w:bCs/>
          <w:i/>
          <w:iCs/>
          <w:color w:val="262626"/>
          <w:kern w:val="0"/>
          <w:sz w:val="24"/>
          <w:szCs w:val="24"/>
        </w:rPr>
        <w:t>Information</w:t>
      </w:r>
      <w:r>
        <w:rPr>
          <w:rFonts w:eastAsia="Calibri" w:cs="Arial"/>
          <w:b/>
          <w:bCs/>
          <w:i/>
          <w:iCs/>
          <w:color w:val="262626"/>
          <w:spacing w:val="-13"/>
          <w:kern w:val="0"/>
          <w:sz w:val="24"/>
          <w:szCs w:val="24"/>
        </w:rPr>
        <w:t xml:space="preserve"> </w:t>
      </w:r>
      <w:r>
        <w:rPr>
          <w:rFonts w:eastAsia="Calibri" w:cs="Arial"/>
          <w:b/>
          <w:bCs/>
          <w:i/>
          <w:iCs/>
          <w:color w:val="262626"/>
          <w:kern w:val="0"/>
          <w:sz w:val="24"/>
          <w:szCs w:val="24"/>
        </w:rPr>
        <w:t>Security</w:t>
      </w:r>
      <w:r>
        <w:rPr>
          <w:rFonts w:eastAsia="Calibri" w:cs="Arial"/>
          <w:i/>
          <w:iCs/>
          <w:color w:val="262626"/>
          <w:spacing w:val="-16"/>
          <w:kern w:val="0"/>
          <w:sz w:val="24"/>
          <w:szCs w:val="24"/>
        </w:rPr>
        <w:t xml:space="preserve"> </w:t>
      </w:r>
      <w:r>
        <w:rPr>
          <w:rFonts w:eastAsia="Calibri" w:cs="Arial"/>
          <w:i/>
          <w:iCs/>
          <w:color w:val="262626"/>
          <w:kern w:val="0"/>
          <w:sz w:val="24"/>
          <w:szCs w:val="24"/>
        </w:rPr>
        <w:t>-</w:t>
      </w:r>
      <w:r>
        <w:rPr>
          <w:rFonts w:eastAsia="Calibri" w:cs="Arial"/>
          <w:i/>
          <w:iCs/>
          <w:color w:val="262626"/>
          <w:spacing w:val="-10"/>
          <w:kern w:val="0"/>
          <w:sz w:val="24"/>
          <w:szCs w:val="24"/>
        </w:rPr>
        <w:t xml:space="preserve"> </w:t>
      </w:r>
      <w:r>
        <w:rPr>
          <w:rFonts w:eastAsia="Calibri" w:cs="Arial"/>
          <w:i/>
          <w:iCs/>
          <w:color w:val="262626"/>
          <w:kern w:val="0"/>
          <w:sz w:val="24"/>
          <w:szCs w:val="24"/>
        </w:rPr>
        <w:t>As</w:t>
      </w:r>
      <w:r>
        <w:rPr>
          <w:rFonts w:eastAsia="Calibri" w:cs="Arial"/>
          <w:i/>
          <w:iCs/>
          <w:color w:val="262626"/>
          <w:spacing w:val="-11"/>
          <w:kern w:val="0"/>
          <w:sz w:val="24"/>
          <w:szCs w:val="24"/>
        </w:rPr>
        <w:t xml:space="preserve"> </w:t>
      </w:r>
      <w:r>
        <w:rPr>
          <w:rFonts w:eastAsia="Calibri" w:cs="Arial"/>
          <w:i/>
          <w:iCs/>
          <w:color w:val="262626"/>
          <w:kern w:val="0"/>
          <w:sz w:val="24"/>
          <w:szCs w:val="24"/>
        </w:rPr>
        <w:t>a</w:t>
      </w:r>
      <w:r>
        <w:rPr>
          <w:rFonts w:eastAsia="Calibri" w:cs="Arial"/>
          <w:i/>
          <w:iCs/>
          <w:color w:val="262626"/>
          <w:spacing w:val="-16"/>
          <w:kern w:val="0"/>
          <w:sz w:val="24"/>
          <w:szCs w:val="24"/>
        </w:rPr>
        <w:t xml:space="preserve"> </w:t>
      </w:r>
      <w:r>
        <w:rPr>
          <w:rFonts w:eastAsia="Calibri" w:cs="Arial"/>
          <w:i/>
          <w:iCs/>
          <w:color w:val="262626"/>
          <w:kern w:val="0"/>
          <w:sz w:val="24"/>
          <w:szCs w:val="24"/>
        </w:rPr>
        <w:t>GMCA</w:t>
      </w:r>
      <w:r>
        <w:rPr>
          <w:rFonts w:eastAsia="Calibri" w:cs="Arial"/>
          <w:i/>
          <w:iCs/>
          <w:color w:val="262626"/>
          <w:spacing w:val="-11"/>
          <w:kern w:val="0"/>
          <w:sz w:val="24"/>
          <w:szCs w:val="24"/>
        </w:rPr>
        <w:t xml:space="preserve"> </w:t>
      </w:r>
      <w:r>
        <w:rPr>
          <w:rFonts w:eastAsia="Calibri" w:cs="Arial"/>
          <w:i/>
          <w:iCs/>
          <w:color w:val="262626"/>
          <w:kern w:val="0"/>
          <w:sz w:val="24"/>
          <w:szCs w:val="24"/>
        </w:rPr>
        <w:t>employee</w:t>
      </w:r>
      <w:r>
        <w:rPr>
          <w:rFonts w:eastAsia="Calibri" w:cs="Arial"/>
          <w:i/>
          <w:iCs/>
          <w:color w:val="262626"/>
          <w:spacing w:val="-12"/>
          <w:kern w:val="0"/>
          <w:sz w:val="24"/>
          <w:szCs w:val="24"/>
        </w:rPr>
        <w:t xml:space="preserve"> </w:t>
      </w:r>
      <w:r>
        <w:rPr>
          <w:rFonts w:eastAsia="Calibri" w:cs="Arial"/>
          <w:i/>
          <w:iCs/>
          <w:color w:val="262626"/>
          <w:kern w:val="0"/>
          <w:sz w:val="24"/>
          <w:szCs w:val="24"/>
        </w:rPr>
        <w:t>you</w:t>
      </w:r>
      <w:r>
        <w:rPr>
          <w:rFonts w:eastAsia="Calibri" w:cs="Arial"/>
          <w:i/>
          <w:iCs/>
          <w:color w:val="262626"/>
          <w:spacing w:val="-12"/>
          <w:kern w:val="0"/>
          <w:sz w:val="24"/>
          <w:szCs w:val="24"/>
        </w:rPr>
        <w:t xml:space="preserve"> </w:t>
      </w:r>
      <w:r>
        <w:rPr>
          <w:rFonts w:eastAsia="Calibri" w:cs="Arial"/>
          <w:i/>
          <w:iCs/>
          <w:color w:val="262626"/>
          <w:kern w:val="0"/>
          <w:sz w:val="24"/>
          <w:szCs w:val="24"/>
        </w:rPr>
        <w:t>are</w:t>
      </w:r>
      <w:r>
        <w:rPr>
          <w:rFonts w:eastAsia="Calibri" w:cs="Arial"/>
          <w:i/>
          <w:iCs/>
          <w:color w:val="262626"/>
          <w:spacing w:val="-11"/>
          <w:kern w:val="0"/>
          <w:sz w:val="24"/>
          <w:szCs w:val="24"/>
        </w:rPr>
        <w:t xml:space="preserve"> </w:t>
      </w:r>
      <w:r>
        <w:rPr>
          <w:rFonts w:eastAsia="Calibri" w:cs="Arial"/>
          <w:i/>
          <w:iCs/>
          <w:color w:val="262626"/>
          <w:kern w:val="0"/>
          <w:sz w:val="24"/>
          <w:szCs w:val="24"/>
        </w:rPr>
        <w:t>required</w:t>
      </w:r>
      <w:r>
        <w:rPr>
          <w:rFonts w:eastAsia="Calibri" w:cs="Arial"/>
          <w:i/>
          <w:iCs/>
          <w:color w:val="262626"/>
          <w:spacing w:val="-15"/>
          <w:kern w:val="0"/>
          <w:sz w:val="24"/>
          <w:szCs w:val="24"/>
        </w:rPr>
        <w:t xml:space="preserve"> </w:t>
      </w:r>
      <w:r>
        <w:rPr>
          <w:rFonts w:eastAsia="Calibri" w:cs="Arial"/>
          <w:i/>
          <w:iCs/>
          <w:color w:val="262626"/>
          <w:kern w:val="0"/>
          <w:sz w:val="24"/>
          <w:szCs w:val="24"/>
        </w:rPr>
        <w:t>to</w:t>
      </w:r>
      <w:r>
        <w:rPr>
          <w:rFonts w:eastAsia="Calibri" w:cs="Arial"/>
          <w:i/>
          <w:iCs/>
          <w:color w:val="262626"/>
          <w:spacing w:val="-12"/>
          <w:kern w:val="0"/>
          <w:sz w:val="24"/>
          <w:szCs w:val="24"/>
        </w:rPr>
        <w:t xml:space="preserve"> </w:t>
      </w:r>
      <w:r>
        <w:rPr>
          <w:rFonts w:eastAsia="Calibri" w:cs="Arial"/>
          <w:i/>
          <w:iCs/>
          <w:color w:val="262626"/>
          <w:kern w:val="0"/>
          <w:sz w:val="24"/>
          <w:szCs w:val="24"/>
        </w:rPr>
        <w:t>uphold</w:t>
      </w:r>
      <w:r>
        <w:rPr>
          <w:rFonts w:eastAsia="Calibri" w:cs="Arial"/>
          <w:i/>
          <w:iCs/>
          <w:color w:val="262626"/>
          <w:spacing w:val="-58"/>
          <w:kern w:val="0"/>
          <w:sz w:val="24"/>
          <w:szCs w:val="24"/>
        </w:rPr>
        <w:t xml:space="preserve"> </w:t>
      </w:r>
      <w:r>
        <w:rPr>
          <w:rFonts w:eastAsia="Calibri" w:cs="Arial"/>
          <w:i/>
          <w:iCs/>
          <w:color w:val="262626"/>
          <w:kern w:val="0"/>
          <w:sz w:val="24"/>
          <w:szCs w:val="24"/>
        </w:rPr>
        <w:t>the confidentiality of all records held by the GMCA, whether employee records or GMCA</w:t>
      </w:r>
      <w:r>
        <w:rPr>
          <w:rFonts w:eastAsia="Calibri" w:cs="Arial"/>
          <w:i/>
          <w:iCs/>
          <w:color w:val="262626"/>
          <w:spacing w:val="1"/>
          <w:kern w:val="0"/>
          <w:sz w:val="24"/>
          <w:szCs w:val="24"/>
        </w:rPr>
        <w:t xml:space="preserve"> </w:t>
      </w:r>
      <w:r>
        <w:rPr>
          <w:rFonts w:eastAsia="Calibri" w:cs="Arial"/>
          <w:i/>
          <w:iCs/>
          <w:color w:val="262626"/>
          <w:kern w:val="0"/>
          <w:sz w:val="24"/>
          <w:szCs w:val="24"/>
        </w:rPr>
        <w:t>information.</w:t>
      </w:r>
      <w:r>
        <w:rPr>
          <w:rFonts w:eastAsia="Calibri" w:cs="Arial"/>
          <w:i/>
          <w:iCs/>
          <w:color w:val="262626"/>
          <w:spacing w:val="1"/>
          <w:kern w:val="0"/>
          <w:sz w:val="24"/>
          <w:szCs w:val="24"/>
        </w:rPr>
        <w:t xml:space="preserve"> </w:t>
      </w:r>
      <w:r>
        <w:rPr>
          <w:rFonts w:eastAsia="Calibri" w:cs="Arial"/>
          <w:i/>
          <w:iCs/>
          <w:color w:val="262626"/>
          <w:kern w:val="0"/>
          <w:sz w:val="24"/>
          <w:szCs w:val="24"/>
        </w:rPr>
        <w:t>This</w:t>
      </w:r>
      <w:r>
        <w:rPr>
          <w:rFonts w:eastAsia="Calibri" w:cs="Arial"/>
          <w:i/>
          <w:iCs/>
          <w:color w:val="262626"/>
          <w:spacing w:val="1"/>
          <w:kern w:val="0"/>
          <w:sz w:val="24"/>
          <w:szCs w:val="24"/>
        </w:rPr>
        <w:t xml:space="preserve"> </w:t>
      </w:r>
      <w:r>
        <w:rPr>
          <w:rFonts w:eastAsia="Calibri" w:cs="Arial"/>
          <w:i/>
          <w:iCs/>
          <w:color w:val="262626"/>
          <w:kern w:val="0"/>
          <w:sz w:val="24"/>
          <w:szCs w:val="24"/>
        </w:rPr>
        <w:t>duty</w:t>
      </w:r>
      <w:r>
        <w:rPr>
          <w:rFonts w:eastAsia="Calibri" w:cs="Arial"/>
          <w:i/>
          <w:iCs/>
          <w:color w:val="262626"/>
          <w:spacing w:val="1"/>
          <w:kern w:val="0"/>
          <w:sz w:val="24"/>
          <w:szCs w:val="24"/>
        </w:rPr>
        <w:t xml:space="preserve"> </w:t>
      </w:r>
      <w:r>
        <w:rPr>
          <w:rFonts w:eastAsia="Calibri" w:cs="Arial"/>
          <w:i/>
          <w:iCs/>
          <w:color w:val="262626"/>
          <w:kern w:val="0"/>
          <w:sz w:val="24"/>
          <w:szCs w:val="24"/>
        </w:rPr>
        <w:t>lasts</w:t>
      </w:r>
      <w:r>
        <w:rPr>
          <w:rFonts w:eastAsia="Calibri" w:cs="Arial"/>
          <w:i/>
          <w:iCs/>
          <w:color w:val="262626"/>
          <w:spacing w:val="1"/>
          <w:kern w:val="0"/>
          <w:sz w:val="24"/>
          <w:szCs w:val="24"/>
        </w:rPr>
        <w:t xml:space="preserve"> </w:t>
      </w:r>
      <w:r>
        <w:rPr>
          <w:rFonts w:eastAsia="Calibri" w:cs="Arial"/>
          <w:i/>
          <w:iCs/>
          <w:color w:val="262626"/>
          <w:kern w:val="0"/>
          <w:sz w:val="24"/>
          <w:szCs w:val="24"/>
        </w:rPr>
        <w:t>indefinitely</w:t>
      </w:r>
      <w:r>
        <w:rPr>
          <w:rFonts w:eastAsia="Calibri" w:cs="Arial"/>
          <w:i/>
          <w:iCs/>
          <w:color w:val="262626"/>
          <w:spacing w:val="1"/>
          <w:kern w:val="0"/>
          <w:sz w:val="24"/>
          <w:szCs w:val="24"/>
        </w:rPr>
        <w:t xml:space="preserve"> </w:t>
      </w:r>
      <w:r>
        <w:rPr>
          <w:rFonts w:eastAsia="Calibri" w:cs="Arial"/>
          <w:i/>
          <w:iCs/>
          <w:color w:val="262626"/>
          <w:kern w:val="0"/>
          <w:sz w:val="24"/>
          <w:szCs w:val="24"/>
        </w:rPr>
        <w:t>and</w:t>
      </w:r>
      <w:r>
        <w:rPr>
          <w:rFonts w:eastAsia="Calibri" w:cs="Arial"/>
          <w:i/>
          <w:iCs/>
          <w:color w:val="262626"/>
          <w:spacing w:val="1"/>
          <w:kern w:val="0"/>
          <w:sz w:val="24"/>
          <w:szCs w:val="24"/>
        </w:rPr>
        <w:t xml:space="preserve"> </w:t>
      </w:r>
      <w:r>
        <w:rPr>
          <w:rFonts w:eastAsia="Calibri" w:cs="Arial"/>
          <w:i/>
          <w:iCs/>
          <w:color w:val="262626"/>
          <w:kern w:val="0"/>
          <w:sz w:val="24"/>
          <w:szCs w:val="24"/>
        </w:rPr>
        <w:t>will</w:t>
      </w:r>
      <w:r>
        <w:rPr>
          <w:rFonts w:eastAsia="Calibri" w:cs="Arial"/>
          <w:i/>
          <w:iCs/>
          <w:color w:val="262626"/>
          <w:spacing w:val="1"/>
          <w:kern w:val="0"/>
          <w:sz w:val="24"/>
          <w:szCs w:val="24"/>
        </w:rPr>
        <w:t xml:space="preserve"> </w:t>
      </w:r>
      <w:r>
        <w:rPr>
          <w:rFonts w:eastAsia="Calibri" w:cs="Arial"/>
          <w:i/>
          <w:iCs/>
          <w:color w:val="262626"/>
          <w:kern w:val="0"/>
          <w:sz w:val="24"/>
          <w:szCs w:val="24"/>
        </w:rPr>
        <w:t>continue</w:t>
      </w:r>
      <w:r>
        <w:rPr>
          <w:rFonts w:eastAsia="Calibri" w:cs="Arial"/>
          <w:i/>
          <w:iCs/>
          <w:color w:val="262626"/>
          <w:spacing w:val="1"/>
          <w:kern w:val="0"/>
          <w:sz w:val="24"/>
          <w:szCs w:val="24"/>
        </w:rPr>
        <w:t xml:space="preserve"> </w:t>
      </w:r>
      <w:r>
        <w:rPr>
          <w:rFonts w:eastAsia="Calibri" w:cs="Arial"/>
          <w:i/>
          <w:iCs/>
          <w:color w:val="262626"/>
          <w:kern w:val="0"/>
          <w:sz w:val="24"/>
          <w:szCs w:val="24"/>
        </w:rPr>
        <w:t>after</w:t>
      </w:r>
      <w:r>
        <w:rPr>
          <w:rFonts w:eastAsia="Calibri" w:cs="Arial"/>
          <w:i/>
          <w:iCs/>
          <w:color w:val="262626"/>
          <w:spacing w:val="1"/>
          <w:kern w:val="0"/>
          <w:sz w:val="24"/>
          <w:szCs w:val="24"/>
        </w:rPr>
        <w:t xml:space="preserve"> </w:t>
      </w:r>
      <w:r>
        <w:rPr>
          <w:rFonts w:eastAsia="Calibri" w:cs="Arial"/>
          <w:i/>
          <w:iCs/>
          <w:color w:val="262626"/>
          <w:kern w:val="0"/>
          <w:sz w:val="24"/>
          <w:szCs w:val="24"/>
        </w:rPr>
        <w:t>you</w:t>
      </w:r>
      <w:r>
        <w:rPr>
          <w:rFonts w:eastAsia="Calibri" w:cs="Arial"/>
          <w:i/>
          <w:iCs/>
          <w:color w:val="262626"/>
          <w:spacing w:val="1"/>
          <w:kern w:val="0"/>
          <w:sz w:val="24"/>
          <w:szCs w:val="24"/>
        </w:rPr>
        <w:t xml:space="preserve"> </w:t>
      </w:r>
      <w:r>
        <w:rPr>
          <w:rFonts w:eastAsia="Calibri" w:cs="Arial"/>
          <w:i/>
          <w:iCs/>
          <w:color w:val="262626"/>
          <w:kern w:val="0"/>
          <w:sz w:val="24"/>
          <w:szCs w:val="24"/>
        </w:rPr>
        <w:t>leave</w:t>
      </w:r>
      <w:r>
        <w:rPr>
          <w:rFonts w:eastAsia="Calibri" w:cs="Arial"/>
          <w:i/>
          <w:iCs/>
          <w:color w:val="262626"/>
          <w:spacing w:val="1"/>
          <w:kern w:val="0"/>
          <w:sz w:val="24"/>
          <w:szCs w:val="24"/>
        </w:rPr>
        <w:t xml:space="preserve"> </w:t>
      </w:r>
      <w:r>
        <w:rPr>
          <w:rFonts w:eastAsia="Calibri" w:cs="Arial"/>
          <w:i/>
          <w:iCs/>
          <w:color w:val="262626"/>
          <w:kern w:val="0"/>
          <w:sz w:val="24"/>
          <w:szCs w:val="24"/>
        </w:rPr>
        <w:t>the</w:t>
      </w:r>
      <w:r>
        <w:rPr>
          <w:rFonts w:eastAsia="Calibri" w:cs="Arial"/>
          <w:i/>
          <w:iCs/>
          <w:color w:val="262626"/>
          <w:spacing w:val="1"/>
          <w:kern w:val="0"/>
          <w:sz w:val="24"/>
          <w:szCs w:val="24"/>
        </w:rPr>
        <w:t xml:space="preserve"> </w:t>
      </w:r>
      <w:r>
        <w:rPr>
          <w:rFonts w:eastAsia="Calibri" w:cs="Arial"/>
          <w:i/>
          <w:iCs/>
          <w:color w:val="262626"/>
          <w:kern w:val="0"/>
          <w:sz w:val="24"/>
          <w:szCs w:val="24"/>
        </w:rPr>
        <w:t>GMCA</w:t>
      </w:r>
      <w:r>
        <w:rPr>
          <w:rFonts w:eastAsia="Calibri" w:cs="Arial"/>
          <w:i/>
          <w:iCs/>
          <w:color w:val="262626"/>
          <w:spacing w:val="1"/>
          <w:kern w:val="0"/>
          <w:sz w:val="24"/>
          <w:szCs w:val="24"/>
        </w:rPr>
        <w:t xml:space="preserve"> </w:t>
      </w:r>
      <w:r>
        <w:rPr>
          <w:rFonts w:eastAsia="Calibri" w:cs="Arial"/>
          <w:i/>
          <w:iCs/>
          <w:color w:val="262626"/>
          <w:kern w:val="0"/>
          <w:sz w:val="24"/>
          <w:szCs w:val="24"/>
        </w:rPr>
        <w:t>employment. All employees must maintain confidentiality and abide by the Data Protection</w:t>
      </w:r>
      <w:r>
        <w:rPr>
          <w:rFonts w:eastAsia="Calibri" w:cs="Arial"/>
          <w:i/>
          <w:iCs/>
          <w:color w:val="262626"/>
          <w:spacing w:val="1"/>
          <w:kern w:val="0"/>
          <w:sz w:val="24"/>
          <w:szCs w:val="24"/>
        </w:rPr>
        <w:t xml:space="preserve"> </w:t>
      </w:r>
      <w:r>
        <w:rPr>
          <w:rFonts w:eastAsia="Calibri" w:cs="Arial"/>
          <w:i/>
          <w:iCs/>
          <w:color w:val="262626"/>
          <w:kern w:val="0"/>
          <w:sz w:val="24"/>
          <w:szCs w:val="24"/>
        </w:rPr>
        <w:t>Act.</w:t>
      </w:r>
    </w:p>
    <w:p>
      <w:pPr>
        <w:pStyle w:val="Normal"/>
        <w:widowControl w:val="false"/>
        <w:spacing w:lineRule="auto" w:line="240" w:before="0" w:after="0"/>
        <w:rPr>
          <w:rFonts w:eastAsia="Calibri" w:cs="Arial"/>
          <w:i/>
          <w:i/>
          <w:iCs/>
          <w:color w:val="262626"/>
          <w:kern w:val="0"/>
          <w:sz w:val="24"/>
          <w:szCs w:val="24"/>
        </w:rPr>
      </w:pPr>
      <w:r>
        <w:rPr>
          <w:rFonts w:eastAsia="Calibri" w:cs="Arial"/>
          <w:i/>
          <w:iCs/>
          <w:color w:val="262626"/>
          <w:kern w:val="0"/>
          <w:sz w:val="24"/>
          <w:szCs w:val="24"/>
        </w:rPr>
      </w:r>
    </w:p>
    <w:p>
      <w:pPr>
        <w:pStyle w:val="Normal"/>
        <w:widowControl w:val="false"/>
        <w:spacing w:lineRule="auto" w:line="240" w:before="0" w:after="0"/>
        <w:rPr/>
      </w:pPr>
      <w:r>
        <w:rPr>
          <w:rFonts w:eastAsia="Calibri" w:cs="Arial"/>
          <w:b/>
          <w:bCs/>
          <w:i/>
          <w:iCs/>
          <w:color w:val="262626"/>
          <w:kern w:val="0"/>
          <w:sz w:val="24"/>
          <w:szCs w:val="24"/>
        </w:rPr>
        <w:t>Data</w:t>
      </w:r>
      <w:r>
        <w:rPr>
          <w:rFonts w:eastAsia="Calibri" w:cs="Arial"/>
          <w:b/>
          <w:bCs/>
          <w:i/>
          <w:iCs/>
          <w:color w:val="262626"/>
          <w:spacing w:val="1"/>
          <w:kern w:val="0"/>
          <w:sz w:val="24"/>
          <w:szCs w:val="24"/>
        </w:rPr>
        <w:t xml:space="preserve"> </w:t>
      </w:r>
      <w:r>
        <w:rPr>
          <w:rFonts w:eastAsia="Calibri" w:cs="Arial"/>
          <w:b/>
          <w:bCs/>
          <w:i/>
          <w:iCs/>
          <w:color w:val="262626"/>
          <w:kern w:val="0"/>
          <w:sz w:val="24"/>
          <w:szCs w:val="24"/>
        </w:rPr>
        <w:t>Quality</w:t>
      </w:r>
      <w:r>
        <w:rPr>
          <w:rFonts w:eastAsia="Calibri" w:cs="Arial"/>
          <w:i/>
          <w:iCs/>
          <w:color w:val="262626"/>
          <w:spacing w:val="1"/>
          <w:kern w:val="0"/>
          <w:sz w:val="24"/>
          <w:szCs w:val="24"/>
        </w:rPr>
        <w:t xml:space="preserve"> </w:t>
      </w:r>
      <w:r>
        <w:rPr>
          <w:rFonts w:eastAsia="Calibri" w:cs="Arial"/>
          <w:i/>
          <w:iCs/>
          <w:color w:val="262626"/>
          <w:kern w:val="0"/>
          <w:sz w:val="24"/>
          <w:szCs w:val="24"/>
        </w:rPr>
        <w:t>-</w:t>
      </w:r>
      <w:r>
        <w:rPr>
          <w:rFonts w:eastAsia="Calibri" w:cs="Arial"/>
          <w:i/>
          <w:iCs/>
          <w:color w:val="262626"/>
          <w:spacing w:val="1"/>
          <w:kern w:val="0"/>
          <w:sz w:val="24"/>
          <w:szCs w:val="24"/>
        </w:rPr>
        <w:t xml:space="preserve"> </w:t>
      </w:r>
      <w:r>
        <w:rPr>
          <w:rFonts w:eastAsia="Calibri" w:cs="Arial"/>
          <w:i/>
          <w:iCs/>
          <w:color w:val="262626"/>
          <w:kern w:val="0"/>
          <w:sz w:val="24"/>
          <w:szCs w:val="24"/>
        </w:rPr>
        <w:t>All</w:t>
      </w:r>
      <w:r>
        <w:rPr>
          <w:rFonts w:eastAsia="Calibri" w:cs="Arial"/>
          <w:i/>
          <w:iCs/>
          <w:color w:val="262626"/>
          <w:spacing w:val="1"/>
          <w:kern w:val="0"/>
          <w:sz w:val="24"/>
          <w:szCs w:val="24"/>
        </w:rPr>
        <w:t xml:space="preserve"> </w:t>
      </w:r>
      <w:r>
        <w:rPr>
          <w:rFonts w:eastAsia="Calibri" w:cs="Arial"/>
          <w:i/>
          <w:iCs/>
          <w:color w:val="262626"/>
          <w:kern w:val="0"/>
          <w:sz w:val="24"/>
          <w:szCs w:val="24"/>
        </w:rPr>
        <w:t>staff</w:t>
      </w:r>
      <w:r>
        <w:rPr>
          <w:rFonts w:eastAsia="Calibri" w:cs="Arial"/>
          <w:i/>
          <w:iCs/>
          <w:color w:val="262626"/>
          <w:spacing w:val="1"/>
          <w:kern w:val="0"/>
          <w:sz w:val="24"/>
          <w:szCs w:val="24"/>
        </w:rPr>
        <w:t xml:space="preserve"> </w:t>
      </w:r>
      <w:r>
        <w:rPr>
          <w:rFonts w:eastAsia="Calibri" w:cs="Arial"/>
          <w:i/>
          <w:iCs/>
          <w:color w:val="262626"/>
          <w:kern w:val="0"/>
          <w:sz w:val="24"/>
          <w:szCs w:val="24"/>
        </w:rPr>
        <w:t>are</w:t>
      </w:r>
      <w:r>
        <w:rPr>
          <w:rFonts w:eastAsia="Calibri" w:cs="Arial"/>
          <w:i/>
          <w:iCs/>
          <w:color w:val="262626"/>
          <w:spacing w:val="1"/>
          <w:kern w:val="0"/>
          <w:sz w:val="24"/>
          <w:szCs w:val="24"/>
        </w:rPr>
        <w:t xml:space="preserve"> </w:t>
      </w:r>
      <w:r>
        <w:rPr>
          <w:rFonts w:eastAsia="Calibri" w:cs="Arial"/>
          <w:i/>
          <w:iCs/>
          <w:color w:val="262626"/>
          <w:kern w:val="0"/>
          <w:sz w:val="24"/>
          <w:szCs w:val="24"/>
        </w:rPr>
        <w:t>personally</w:t>
      </w:r>
      <w:r>
        <w:rPr>
          <w:rFonts w:eastAsia="Calibri" w:cs="Arial"/>
          <w:i/>
          <w:iCs/>
          <w:color w:val="262626"/>
          <w:spacing w:val="1"/>
          <w:kern w:val="0"/>
          <w:sz w:val="24"/>
          <w:szCs w:val="24"/>
        </w:rPr>
        <w:t xml:space="preserve"> </w:t>
      </w:r>
      <w:r>
        <w:rPr>
          <w:rFonts w:eastAsia="Calibri" w:cs="Arial"/>
          <w:i/>
          <w:iCs/>
          <w:color w:val="262626"/>
          <w:kern w:val="0"/>
          <w:sz w:val="24"/>
          <w:szCs w:val="24"/>
        </w:rPr>
        <w:t>responsible</w:t>
      </w:r>
      <w:r>
        <w:rPr>
          <w:rFonts w:eastAsia="Calibri" w:cs="Arial"/>
          <w:i/>
          <w:iCs/>
          <w:color w:val="262626"/>
          <w:spacing w:val="1"/>
          <w:kern w:val="0"/>
          <w:sz w:val="24"/>
          <w:szCs w:val="24"/>
        </w:rPr>
        <w:t xml:space="preserve"> </w:t>
      </w:r>
      <w:r>
        <w:rPr>
          <w:rFonts w:eastAsia="Calibri" w:cs="Arial"/>
          <w:i/>
          <w:iCs/>
          <w:color w:val="262626"/>
          <w:kern w:val="0"/>
          <w:sz w:val="24"/>
          <w:szCs w:val="24"/>
        </w:rPr>
        <w:t>for</w:t>
      </w:r>
      <w:r>
        <w:rPr>
          <w:rFonts w:eastAsia="Calibri" w:cs="Arial"/>
          <w:i/>
          <w:iCs/>
          <w:color w:val="262626"/>
          <w:spacing w:val="1"/>
          <w:kern w:val="0"/>
          <w:sz w:val="24"/>
          <w:szCs w:val="24"/>
        </w:rPr>
        <w:t xml:space="preserve"> </w:t>
      </w:r>
      <w:r>
        <w:rPr>
          <w:rFonts w:eastAsia="Calibri" w:cs="Arial"/>
          <w:i/>
          <w:iCs/>
          <w:color w:val="262626"/>
          <w:kern w:val="0"/>
          <w:sz w:val="24"/>
          <w:szCs w:val="24"/>
        </w:rPr>
        <w:t>the</w:t>
      </w:r>
      <w:r>
        <w:rPr>
          <w:rFonts w:eastAsia="Calibri" w:cs="Arial"/>
          <w:i/>
          <w:iCs/>
          <w:color w:val="262626"/>
          <w:spacing w:val="1"/>
          <w:kern w:val="0"/>
          <w:sz w:val="24"/>
          <w:szCs w:val="24"/>
        </w:rPr>
        <w:t xml:space="preserve"> </w:t>
      </w:r>
      <w:r>
        <w:rPr>
          <w:rFonts w:eastAsia="Calibri" w:cs="Arial"/>
          <w:i/>
          <w:iCs/>
          <w:color w:val="262626"/>
          <w:kern w:val="0"/>
          <w:sz w:val="24"/>
          <w:szCs w:val="24"/>
        </w:rPr>
        <w:t>quality</w:t>
      </w:r>
      <w:r>
        <w:rPr>
          <w:rFonts w:eastAsia="Calibri" w:cs="Arial"/>
          <w:i/>
          <w:iCs/>
          <w:color w:val="262626"/>
          <w:spacing w:val="1"/>
          <w:kern w:val="0"/>
          <w:sz w:val="24"/>
          <w:szCs w:val="24"/>
        </w:rPr>
        <w:t xml:space="preserve"> </w:t>
      </w:r>
      <w:r>
        <w:rPr>
          <w:rFonts w:eastAsia="Calibri" w:cs="Arial"/>
          <w:i/>
          <w:iCs/>
          <w:color w:val="262626"/>
          <w:kern w:val="0"/>
          <w:sz w:val="24"/>
          <w:szCs w:val="24"/>
        </w:rPr>
        <w:t>of</w:t>
      </w:r>
      <w:r>
        <w:rPr>
          <w:rFonts w:eastAsia="Calibri" w:cs="Arial"/>
          <w:i/>
          <w:iCs/>
          <w:color w:val="262626"/>
          <w:spacing w:val="1"/>
          <w:kern w:val="0"/>
          <w:sz w:val="24"/>
          <w:szCs w:val="24"/>
        </w:rPr>
        <w:t xml:space="preserve"> </w:t>
      </w:r>
      <w:r>
        <w:rPr>
          <w:rFonts w:eastAsia="Calibri" w:cs="Arial"/>
          <w:i/>
          <w:iCs/>
          <w:color w:val="262626"/>
          <w:kern w:val="0"/>
          <w:sz w:val="24"/>
          <w:szCs w:val="24"/>
        </w:rPr>
        <w:t>data</w:t>
      </w:r>
      <w:r>
        <w:rPr>
          <w:rFonts w:eastAsia="Calibri" w:cs="Arial"/>
          <w:i/>
          <w:iCs/>
          <w:color w:val="262626"/>
          <w:spacing w:val="1"/>
          <w:kern w:val="0"/>
          <w:sz w:val="24"/>
          <w:szCs w:val="24"/>
        </w:rPr>
        <w:t xml:space="preserve"> </w:t>
      </w:r>
      <w:r>
        <w:rPr>
          <w:rFonts w:eastAsia="Calibri" w:cs="Arial"/>
          <w:i/>
          <w:iCs/>
          <w:color w:val="262626"/>
          <w:kern w:val="0"/>
          <w:sz w:val="24"/>
          <w:szCs w:val="24"/>
        </w:rPr>
        <w:t>entered</w:t>
      </w:r>
      <w:r>
        <w:rPr>
          <w:rFonts w:eastAsia="Calibri" w:cs="Arial"/>
          <w:i/>
          <w:iCs/>
          <w:color w:val="262626"/>
          <w:spacing w:val="1"/>
          <w:kern w:val="0"/>
          <w:sz w:val="24"/>
          <w:szCs w:val="24"/>
        </w:rPr>
        <w:t xml:space="preserve"> </w:t>
      </w:r>
      <w:r>
        <w:rPr>
          <w:rFonts w:eastAsia="Calibri" w:cs="Arial"/>
          <w:i/>
          <w:iCs/>
          <w:color w:val="262626"/>
          <w:kern w:val="0"/>
          <w:sz w:val="24"/>
          <w:szCs w:val="24"/>
        </w:rPr>
        <w:t>by</w:t>
      </w:r>
      <w:r>
        <w:rPr>
          <w:rFonts w:eastAsia="Calibri" w:cs="Arial"/>
          <w:i/>
          <w:iCs/>
          <w:color w:val="262626"/>
          <w:spacing w:val="1"/>
          <w:kern w:val="0"/>
          <w:sz w:val="24"/>
          <w:szCs w:val="24"/>
        </w:rPr>
        <w:t xml:space="preserve"> </w:t>
      </w:r>
      <w:r>
        <w:rPr>
          <w:rFonts w:eastAsia="Calibri" w:cs="Arial"/>
          <w:i/>
          <w:iCs/>
          <w:color w:val="262626"/>
          <w:kern w:val="0"/>
          <w:sz w:val="24"/>
          <w:szCs w:val="24"/>
        </w:rPr>
        <w:t>themselves, or on their behalf, on GMCAs computerised systems or manual records (paper</w:t>
      </w:r>
      <w:r>
        <w:rPr>
          <w:rFonts w:eastAsia="Calibri" w:cs="Arial"/>
          <w:i/>
          <w:iCs/>
          <w:color w:val="262626"/>
          <w:spacing w:val="1"/>
          <w:kern w:val="0"/>
          <w:sz w:val="24"/>
          <w:szCs w:val="24"/>
        </w:rPr>
        <w:t xml:space="preserve"> </w:t>
      </w:r>
      <w:r>
        <w:rPr>
          <w:rFonts w:eastAsia="Calibri" w:cs="Arial"/>
          <w:i/>
          <w:iCs/>
          <w:color w:val="262626"/>
          <w:kern w:val="0"/>
          <w:sz w:val="24"/>
          <w:szCs w:val="24"/>
        </w:rPr>
        <w:t>records) and must ensure that such data is entered accurately and, in a timely manner, to</w:t>
      </w:r>
      <w:r>
        <w:rPr>
          <w:rFonts w:eastAsia="Calibri" w:cs="Arial"/>
          <w:i/>
          <w:iCs/>
          <w:color w:val="262626"/>
          <w:spacing w:val="1"/>
          <w:kern w:val="0"/>
          <w:sz w:val="24"/>
          <w:szCs w:val="24"/>
        </w:rPr>
        <w:t xml:space="preserve"> </w:t>
      </w:r>
      <w:r>
        <w:rPr>
          <w:rFonts w:eastAsia="Calibri" w:cs="Arial"/>
          <w:i/>
          <w:iCs/>
          <w:color w:val="262626"/>
          <w:kern w:val="0"/>
          <w:sz w:val="24"/>
          <w:szCs w:val="24"/>
        </w:rPr>
        <w:t>ensure high</w:t>
      </w:r>
      <w:r>
        <w:rPr>
          <w:rFonts w:eastAsia="Calibri" w:cs="Arial"/>
          <w:i/>
          <w:iCs/>
          <w:color w:val="262626"/>
          <w:spacing w:val="-3"/>
          <w:kern w:val="0"/>
          <w:sz w:val="24"/>
          <w:szCs w:val="24"/>
        </w:rPr>
        <w:t xml:space="preserve"> </w:t>
      </w:r>
      <w:r>
        <w:rPr>
          <w:rFonts w:eastAsia="Calibri" w:cs="Arial"/>
          <w:i/>
          <w:iCs/>
          <w:color w:val="262626"/>
          <w:kern w:val="0"/>
          <w:sz w:val="24"/>
          <w:szCs w:val="24"/>
        </w:rPr>
        <w:t>standards of data</w:t>
      </w:r>
      <w:r>
        <w:rPr>
          <w:rFonts w:eastAsia="Calibri" w:cs="Arial"/>
          <w:i/>
          <w:iCs/>
          <w:color w:val="262626"/>
          <w:spacing w:val="-5"/>
          <w:kern w:val="0"/>
          <w:sz w:val="24"/>
          <w:szCs w:val="24"/>
        </w:rPr>
        <w:t xml:space="preserve"> </w:t>
      </w:r>
      <w:r>
        <w:rPr>
          <w:rFonts w:eastAsia="Calibri" w:cs="Arial"/>
          <w:i/>
          <w:iCs/>
          <w:color w:val="262626"/>
          <w:kern w:val="0"/>
          <w:sz w:val="24"/>
          <w:szCs w:val="24"/>
        </w:rPr>
        <w:t>quality</w:t>
      </w:r>
      <w:r>
        <w:rPr>
          <w:rFonts w:eastAsia="Calibri" w:cs="Arial"/>
          <w:i/>
          <w:iCs/>
          <w:color w:val="262626"/>
          <w:spacing w:val="-2"/>
          <w:kern w:val="0"/>
          <w:sz w:val="24"/>
          <w:szCs w:val="24"/>
        </w:rPr>
        <w:t xml:space="preserve"> </w:t>
      </w:r>
      <w:r>
        <w:rPr>
          <w:rFonts w:eastAsia="Calibri" w:cs="Arial"/>
          <w:i/>
          <w:iCs/>
          <w:color w:val="262626"/>
          <w:kern w:val="0"/>
          <w:sz w:val="24"/>
          <w:szCs w:val="24"/>
        </w:rPr>
        <w:t>in accordance with Departmental protocols. To ensure data is handled in a secure manner protecting the confidentiality of any personal</w:t>
      </w:r>
      <w:r>
        <w:rPr>
          <w:rFonts w:eastAsia="Calibri" w:cs="Arial"/>
          <w:i/>
          <w:iCs/>
          <w:color w:val="262626"/>
          <w:spacing w:val="1"/>
          <w:kern w:val="0"/>
          <w:sz w:val="24"/>
          <w:szCs w:val="24"/>
        </w:rPr>
        <w:t xml:space="preserve"> </w:t>
      </w:r>
      <w:r>
        <w:rPr>
          <w:rFonts w:eastAsia="Calibri" w:cs="Arial"/>
          <w:i/>
          <w:iCs/>
          <w:color w:val="262626"/>
          <w:kern w:val="0"/>
          <w:sz w:val="24"/>
          <w:szCs w:val="24"/>
        </w:rPr>
        <w:t>data</w:t>
      </w:r>
      <w:r>
        <w:rPr>
          <w:rFonts w:eastAsia="Calibri" w:cs="Arial"/>
          <w:i/>
          <w:iCs/>
          <w:color w:val="262626"/>
          <w:spacing w:val="-1"/>
          <w:kern w:val="0"/>
          <w:sz w:val="24"/>
          <w:szCs w:val="24"/>
        </w:rPr>
        <w:t xml:space="preserve"> </w:t>
      </w:r>
      <w:r>
        <w:rPr>
          <w:rFonts w:eastAsia="Calibri" w:cs="Arial"/>
          <w:i/>
          <w:iCs/>
          <w:color w:val="262626"/>
          <w:kern w:val="0"/>
          <w:sz w:val="24"/>
          <w:szCs w:val="24"/>
        </w:rPr>
        <w:t>held in</w:t>
      </w:r>
      <w:r>
        <w:rPr>
          <w:rFonts w:eastAsia="Calibri" w:cs="Arial"/>
          <w:i/>
          <w:iCs/>
          <w:color w:val="262626"/>
          <w:spacing w:val="-2"/>
          <w:kern w:val="0"/>
          <w:sz w:val="24"/>
          <w:szCs w:val="24"/>
        </w:rPr>
        <w:t xml:space="preserve"> </w:t>
      </w:r>
      <w:r>
        <w:rPr>
          <w:rFonts w:eastAsia="Calibri" w:cs="Arial"/>
          <w:i/>
          <w:iCs/>
          <w:color w:val="262626"/>
          <w:kern w:val="0"/>
          <w:sz w:val="24"/>
          <w:szCs w:val="24"/>
        </w:rPr>
        <w:t>meeting</w:t>
      </w:r>
      <w:r>
        <w:rPr>
          <w:rFonts w:eastAsia="Calibri" w:cs="Arial"/>
          <w:i/>
          <w:iCs/>
          <w:color w:val="262626"/>
          <w:spacing w:val="-1"/>
          <w:kern w:val="0"/>
          <w:sz w:val="24"/>
          <w:szCs w:val="24"/>
        </w:rPr>
        <w:t xml:space="preserve"> </w:t>
      </w:r>
      <w:r>
        <w:rPr>
          <w:rFonts w:eastAsia="Calibri" w:cs="Arial"/>
          <w:i/>
          <w:iCs/>
          <w:color w:val="262626"/>
          <w:kern w:val="0"/>
          <w:sz w:val="24"/>
          <w:szCs w:val="24"/>
        </w:rPr>
        <w:t>the</w:t>
      </w:r>
      <w:r>
        <w:rPr>
          <w:rFonts w:eastAsia="Calibri" w:cs="Arial"/>
          <w:i/>
          <w:iCs/>
          <w:color w:val="262626"/>
          <w:spacing w:val="-4"/>
          <w:kern w:val="0"/>
          <w:sz w:val="24"/>
          <w:szCs w:val="24"/>
        </w:rPr>
        <w:t xml:space="preserve"> </w:t>
      </w:r>
      <w:r>
        <w:rPr>
          <w:rFonts w:eastAsia="Calibri" w:cs="Arial"/>
          <w:i/>
          <w:iCs/>
          <w:color w:val="262626"/>
          <w:kern w:val="0"/>
          <w:sz w:val="24"/>
          <w:szCs w:val="24"/>
        </w:rPr>
        <w:t>requirements</w:t>
      </w:r>
      <w:r>
        <w:rPr>
          <w:rFonts w:eastAsia="Calibri" w:cs="Arial"/>
          <w:i/>
          <w:iCs/>
          <w:color w:val="262626"/>
          <w:spacing w:val="-1"/>
          <w:kern w:val="0"/>
          <w:sz w:val="24"/>
          <w:szCs w:val="24"/>
        </w:rPr>
        <w:t xml:space="preserve"> </w:t>
      </w:r>
      <w:r>
        <w:rPr>
          <w:rFonts w:eastAsia="Calibri" w:cs="Arial"/>
          <w:i/>
          <w:iCs/>
          <w:color w:val="262626"/>
          <w:kern w:val="0"/>
          <w:sz w:val="24"/>
          <w:szCs w:val="24"/>
        </w:rPr>
        <w:t>of</w:t>
      </w:r>
      <w:r>
        <w:rPr>
          <w:rFonts w:eastAsia="Calibri" w:cs="Arial"/>
          <w:i/>
          <w:iCs/>
          <w:color w:val="262626"/>
          <w:spacing w:val="2"/>
          <w:kern w:val="0"/>
          <w:sz w:val="24"/>
          <w:szCs w:val="24"/>
        </w:rPr>
        <w:t xml:space="preserve"> </w:t>
      </w:r>
      <w:r>
        <w:rPr>
          <w:rFonts w:eastAsia="Calibri" w:cs="Arial"/>
          <w:i/>
          <w:iCs/>
          <w:color w:val="262626"/>
          <w:kern w:val="0"/>
          <w:sz w:val="24"/>
          <w:szCs w:val="24"/>
        </w:rPr>
        <w:t>the</w:t>
      </w:r>
      <w:r>
        <w:rPr>
          <w:rFonts w:eastAsia="Calibri" w:cs="Arial"/>
          <w:i/>
          <w:iCs/>
          <w:color w:val="262626"/>
          <w:spacing w:val="-3"/>
          <w:kern w:val="0"/>
          <w:sz w:val="24"/>
          <w:szCs w:val="24"/>
        </w:rPr>
        <w:t xml:space="preserve"> </w:t>
      </w:r>
      <w:r>
        <w:rPr>
          <w:rFonts w:eastAsia="Calibri" w:cs="Arial"/>
          <w:i/>
          <w:iCs/>
          <w:color w:val="262626"/>
          <w:kern w:val="0"/>
          <w:sz w:val="24"/>
          <w:szCs w:val="24"/>
        </w:rPr>
        <w:t>Data</w:t>
      </w:r>
      <w:r>
        <w:rPr>
          <w:rFonts w:eastAsia="Calibri" w:cs="Arial"/>
          <w:i/>
          <w:iCs/>
          <w:color w:val="262626"/>
          <w:spacing w:val="-1"/>
          <w:kern w:val="0"/>
          <w:sz w:val="24"/>
          <w:szCs w:val="24"/>
        </w:rPr>
        <w:t xml:space="preserve"> </w:t>
      </w:r>
      <w:r>
        <w:rPr>
          <w:rFonts w:eastAsia="Calibri" w:cs="Arial"/>
          <w:i/>
          <w:iCs/>
          <w:color w:val="262626"/>
          <w:kern w:val="0"/>
          <w:sz w:val="24"/>
          <w:szCs w:val="24"/>
        </w:rPr>
        <w:t>Protection</w:t>
      </w:r>
      <w:r>
        <w:rPr>
          <w:rFonts w:eastAsia="Calibri" w:cs="Arial"/>
          <w:i/>
          <w:iCs/>
          <w:color w:val="262626"/>
          <w:spacing w:val="1"/>
          <w:kern w:val="0"/>
          <w:sz w:val="24"/>
          <w:szCs w:val="24"/>
        </w:rPr>
        <w:t xml:space="preserve"> </w:t>
      </w:r>
      <w:r>
        <w:rPr>
          <w:rFonts w:eastAsia="Calibri" w:cs="Arial"/>
          <w:i/>
          <w:iCs/>
          <w:color w:val="262626"/>
          <w:kern w:val="0"/>
          <w:sz w:val="24"/>
          <w:szCs w:val="24"/>
        </w:rPr>
        <w:t>Act.</w:t>
        <w:tab/>
        <w:br/>
      </w:r>
    </w:p>
    <w:p>
      <w:pPr>
        <w:pStyle w:val="Normal"/>
        <w:widowControl w:val="false"/>
        <w:spacing w:lineRule="auto" w:line="240" w:before="0" w:after="0"/>
        <w:rPr/>
      </w:pPr>
      <w:r>
        <w:rPr>
          <w:rFonts w:eastAsia="Calibri" w:cs="Arial"/>
          <w:b/>
          <w:bCs/>
          <w:i/>
          <w:iCs/>
          <w:color w:val="262626"/>
          <w:kern w:val="0"/>
          <w:sz w:val="24"/>
          <w:szCs w:val="24"/>
        </w:rPr>
        <w:t>Health and Safety</w:t>
      </w:r>
      <w:r>
        <w:rPr>
          <w:rFonts w:eastAsia="Calibri" w:cs="Arial"/>
          <w:i/>
          <w:iCs/>
          <w:color w:val="262626"/>
          <w:kern w:val="0"/>
          <w:sz w:val="24"/>
          <w:szCs w:val="24"/>
        </w:rPr>
        <w:t xml:space="preserve"> - All employees of GMCA have a statutory duty of care for their own</w:t>
      </w:r>
      <w:r>
        <w:rPr>
          <w:rFonts w:eastAsia="Calibri" w:cs="Arial"/>
          <w:i/>
          <w:iCs/>
          <w:color w:val="262626"/>
          <w:spacing w:val="1"/>
          <w:kern w:val="0"/>
          <w:sz w:val="24"/>
          <w:szCs w:val="24"/>
        </w:rPr>
        <w:t xml:space="preserve"> </w:t>
      </w:r>
      <w:r>
        <w:rPr>
          <w:rFonts w:eastAsia="Calibri" w:cs="Arial"/>
          <w:i/>
          <w:iCs/>
          <w:color w:val="262626"/>
          <w:kern w:val="0"/>
          <w:sz w:val="24"/>
          <w:szCs w:val="24"/>
        </w:rPr>
        <w:t>personal</w:t>
      </w:r>
      <w:r>
        <w:rPr>
          <w:rFonts w:eastAsia="Calibri" w:cs="Arial"/>
          <w:i/>
          <w:iCs/>
          <w:color w:val="262626"/>
          <w:spacing w:val="-9"/>
          <w:kern w:val="0"/>
          <w:sz w:val="24"/>
          <w:szCs w:val="24"/>
        </w:rPr>
        <w:t xml:space="preserve"> </w:t>
      </w:r>
      <w:r>
        <w:rPr>
          <w:rFonts w:eastAsia="Calibri" w:cs="Arial"/>
          <w:i/>
          <w:iCs/>
          <w:color w:val="262626"/>
          <w:kern w:val="0"/>
          <w:sz w:val="24"/>
          <w:szCs w:val="24"/>
        </w:rPr>
        <w:t>safety</w:t>
      </w:r>
      <w:r>
        <w:rPr>
          <w:rFonts w:eastAsia="Calibri" w:cs="Arial"/>
          <w:i/>
          <w:iCs/>
          <w:color w:val="262626"/>
          <w:spacing w:val="-9"/>
          <w:kern w:val="0"/>
          <w:sz w:val="24"/>
          <w:szCs w:val="24"/>
        </w:rPr>
        <w:t xml:space="preserve"> </w:t>
      </w:r>
      <w:r>
        <w:rPr>
          <w:rFonts w:eastAsia="Calibri" w:cs="Arial"/>
          <w:i/>
          <w:iCs/>
          <w:color w:val="262626"/>
          <w:kern w:val="0"/>
          <w:sz w:val="24"/>
          <w:szCs w:val="24"/>
        </w:rPr>
        <w:t>and</w:t>
      </w:r>
      <w:r>
        <w:rPr>
          <w:rFonts w:eastAsia="Calibri" w:cs="Arial"/>
          <w:i/>
          <w:iCs/>
          <w:color w:val="262626"/>
          <w:spacing w:val="-8"/>
          <w:kern w:val="0"/>
          <w:sz w:val="24"/>
          <w:szCs w:val="24"/>
        </w:rPr>
        <w:t xml:space="preserve"> </w:t>
      </w:r>
      <w:r>
        <w:rPr>
          <w:rFonts w:eastAsia="Calibri" w:cs="Arial"/>
          <w:i/>
          <w:iCs/>
          <w:color w:val="262626"/>
          <w:kern w:val="0"/>
          <w:sz w:val="24"/>
          <w:szCs w:val="24"/>
        </w:rPr>
        <w:t>that</w:t>
      </w:r>
      <w:r>
        <w:rPr>
          <w:rFonts w:eastAsia="Calibri" w:cs="Arial"/>
          <w:i/>
          <w:iCs/>
          <w:color w:val="262626"/>
          <w:spacing w:val="-9"/>
          <w:kern w:val="0"/>
          <w:sz w:val="24"/>
          <w:szCs w:val="24"/>
        </w:rPr>
        <w:t xml:space="preserve"> </w:t>
      </w:r>
      <w:r>
        <w:rPr>
          <w:rFonts w:eastAsia="Calibri" w:cs="Arial"/>
          <w:i/>
          <w:iCs/>
          <w:color w:val="262626"/>
          <w:kern w:val="0"/>
          <w:sz w:val="24"/>
          <w:szCs w:val="24"/>
        </w:rPr>
        <w:t>of</w:t>
      </w:r>
      <w:r>
        <w:rPr>
          <w:rFonts w:eastAsia="Calibri" w:cs="Arial"/>
          <w:i/>
          <w:iCs/>
          <w:color w:val="262626"/>
          <w:spacing w:val="-3"/>
          <w:kern w:val="0"/>
          <w:sz w:val="24"/>
          <w:szCs w:val="24"/>
        </w:rPr>
        <w:t xml:space="preserve"> </w:t>
      </w:r>
      <w:r>
        <w:rPr>
          <w:rFonts w:eastAsia="Calibri" w:cs="Arial"/>
          <w:i/>
          <w:iCs/>
          <w:color w:val="262626"/>
          <w:kern w:val="0"/>
          <w:sz w:val="24"/>
          <w:szCs w:val="24"/>
        </w:rPr>
        <w:t>others</w:t>
      </w:r>
      <w:r>
        <w:rPr>
          <w:rFonts w:eastAsia="Calibri" w:cs="Arial"/>
          <w:i/>
          <w:iCs/>
          <w:color w:val="262626"/>
          <w:spacing w:val="-7"/>
          <w:kern w:val="0"/>
          <w:sz w:val="24"/>
          <w:szCs w:val="24"/>
        </w:rPr>
        <w:t xml:space="preserve"> </w:t>
      </w:r>
      <w:r>
        <w:rPr>
          <w:rFonts w:eastAsia="Calibri" w:cs="Arial"/>
          <w:i/>
          <w:iCs/>
          <w:color w:val="262626"/>
          <w:kern w:val="0"/>
          <w:sz w:val="24"/>
          <w:szCs w:val="24"/>
        </w:rPr>
        <w:t>who</w:t>
      </w:r>
      <w:r>
        <w:rPr>
          <w:rFonts w:eastAsia="Calibri" w:cs="Arial"/>
          <w:i/>
          <w:iCs/>
          <w:color w:val="262626"/>
          <w:spacing w:val="-7"/>
          <w:kern w:val="0"/>
          <w:sz w:val="24"/>
          <w:szCs w:val="24"/>
        </w:rPr>
        <w:t xml:space="preserve"> </w:t>
      </w:r>
      <w:r>
        <w:rPr>
          <w:rFonts w:eastAsia="Calibri" w:cs="Arial"/>
          <w:i/>
          <w:iCs/>
          <w:color w:val="262626"/>
          <w:kern w:val="0"/>
          <w:sz w:val="24"/>
          <w:szCs w:val="24"/>
        </w:rPr>
        <w:t>may</w:t>
      </w:r>
      <w:r>
        <w:rPr>
          <w:rFonts w:eastAsia="Calibri" w:cs="Arial"/>
          <w:i/>
          <w:iCs/>
          <w:color w:val="262626"/>
          <w:spacing w:val="-10"/>
          <w:kern w:val="0"/>
          <w:sz w:val="24"/>
          <w:szCs w:val="24"/>
        </w:rPr>
        <w:t xml:space="preserve"> </w:t>
      </w:r>
      <w:r>
        <w:rPr>
          <w:rFonts w:eastAsia="Calibri" w:cs="Arial"/>
          <w:i/>
          <w:iCs/>
          <w:color w:val="262626"/>
          <w:kern w:val="0"/>
          <w:sz w:val="24"/>
          <w:szCs w:val="24"/>
        </w:rPr>
        <w:t>be</w:t>
      </w:r>
      <w:r>
        <w:rPr>
          <w:rFonts w:eastAsia="Calibri" w:cs="Arial"/>
          <w:i/>
          <w:iCs/>
          <w:color w:val="262626"/>
          <w:spacing w:val="-8"/>
          <w:kern w:val="0"/>
          <w:sz w:val="24"/>
          <w:szCs w:val="24"/>
        </w:rPr>
        <w:t xml:space="preserve"> </w:t>
      </w:r>
      <w:r>
        <w:rPr>
          <w:rFonts w:eastAsia="Calibri" w:cs="Arial"/>
          <w:i/>
          <w:iCs/>
          <w:color w:val="262626"/>
          <w:kern w:val="0"/>
          <w:sz w:val="24"/>
          <w:szCs w:val="24"/>
        </w:rPr>
        <w:t>affected</w:t>
      </w:r>
      <w:r>
        <w:rPr>
          <w:rFonts w:eastAsia="Calibri" w:cs="Arial"/>
          <w:i/>
          <w:iCs/>
          <w:color w:val="262626"/>
          <w:spacing w:val="-7"/>
          <w:kern w:val="0"/>
          <w:sz w:val="24"/>
          <w:szCs w:val="24"/>
        </w:rPr>
        <w:t xml:space="preserve"> </w:t>
      </w:r>
      <w:r>
        <w:rPr>
          <w:rFonts w:eastAsia="Calibri" w:cs="Arial"/>
          <w:i/>
          <w:iCs/>
          <w:color w:val="262626"/>
          <w:kern w:val="0"/>
          <w:sz w:val="24"/>
          <w:szCs w:val="24"/>
        </w:rPr>
        <w:t>by</w:t>
      </w:r>
      <w:r>
        <w:rPr>
          <w:rFonts w:eastAsia="Calibri" w:cs="Arial"/>
          <w:i/>
          <w:iCs/>
          <w:color w:val="262626"/>
          <w:spacing w:val="-10"/>
          <w:kern w:val="0"/>
          <w:sz w:val="24"/>
          <w:szCs w:val="24"/>
        </w:rPr>
        <w:t xml:space="preserve"> </w:t>
      </w:r>
      <w:r>
        <w:rPr>
          <w:rFonts w:eastAsia="Calibri" w:cs="Arial"/>
          <w:i/>
          <w:iCs/>
          <w:color w:val="262626"/>
          <w:kern w:val="0"/>
          <w:sz w:val="24"/>
          <w:szCs w:val="24"/>
        </w:rPr>
        <w:t>their</w:t>
      </w:r>
      <w:r>
        <w:rPr>
          <w:rFonts w:eastAsia="Calibri" w:cs="Arial"/>
          <w:i/>
          <w:iCs/>
          <w:color w:val="262626"/>
          <w:spacing w:val="-6"/>
          <w:kern w:val="0"/>
          <w:sz w:val="24"/>
          <w:szCs w:val="24"/>
        </w:rPr>
        <w:t xml:space="preserve"> </w:t>
      </w:r>
      <w:r>
        <w:rPr>
          <w:rFonts w:eastAsia="Calibri" w:cs="Arial"/>
          <w:i/>
          <w:iCs/>
          <w:color w:val="262626"/>
          <w:kern w:val="0"/>
          <w:sz w:val="24"/>
          <w:szCs w:val="24"/>
        </w:rPr>
        <w:t>acts</w:t>
      </w:r>
      <w:r>
        <w:rPr>
          <w:rFonts w:eastAsia="Calibri" w:cs="Arial"/>
          <w:i/>
          <w:iCs/>
          <w:color w:val="262626"/>
          <w:spacing w:val="-7"/>
          <w:kern w:val="0"/>
          <w:sz w:val="24"/>
          <w:szCs w:val="24"/>
        </w:rPr>
        <w:t xml:space="preserve"> </w:t>
      </w:r>
      <w:r>
        <w:rPr>
          <w:rFonts w:eastAsia="Calibri" w:cs="Arial"/>
          <w:i/>
          <w:iCs/>
          <w:color w:val="262626"/>
          <w:kern w:val="0"/>
          <w:sz w:val="24"/>
          <w:szCs w:val="24"/>
        </w:rPr>
        <w:t>or</w:t>
      </w:r>
      <w:r>
        <w:rPr>
          <w:rFonts w:eastAsia="Calibri" w:cs="Arial"/>
          <w:i/>
          <w:iCs/>
          <w:color w:val="262626"/>
          <w:spacing w:val="-6"/>
          <w:kern w:val="0"/>
          <w:sz w:val="24"/>
          <w:szCs w:val="24"/>
        </w:rPr>
        <w:t xml:space="preserve"> </w:t>
      </w:r>
      <w:r>
        <w:rPr>
          <w:rFonts w:eastAsia="Calibri" w:cs="Arial"/>
          <w:i/>
          <w:iCs/>
          <w:color w:val="262626"/>
          <w:kern w:val="0"/>
          <w:sz w:val="24"/>
          <w:szCs w:val="24"/>
        </w:rPr>
        <w:t>omissions.</w:t>
      </w:r>
      <w:r>
        <w:rPr>
          <w:rFonts w:eastAsia="Calibri" w:cs="Arial"/>
          <w:i/>
          <w:iCs/>
          <w:color w:val="262626"/>
          <w:spacing w:val="-5"/>
          <w:kern w:val="0"/>
          <w:sz w:val="24"/>
          <w:szCs w:val="24"/>
        </w:rPr>
        <w:t xml:space="preserve"> </w:t>
      </w:r>
      <w:r>
        <w:rPr>
          <w:rFonts w:eastAsia="Calibri" w:cs="Arial"/>
          <w:i/>
          <w:iCs/>
          <w:color w:val="262626"/>
          <w:kern w:val="0"/>
          <w:sz w:val="24"/>
          <w:szCs w:val="24"/>
        </w:rPr>
        <w:t>Employees</w:t>
      </w:r>
      <w:r>
        <w:rPr>
          <w:rFonts w:eastAsia="Calibri" w:cs="Arial"/>
          <w:i/>
          <w:iCs/>
          <w:color w:val="262626"/>
          <w:spacing w:val="-59"/>
          <w:kern w:val="0"/>
          <w:sz w:val="24"/>
          <w:szCs w:val="24"/>
        </w:rPr>
        <w:t xml:space="preserve"> </w:t>
      </w:r>
      <w:r>
        <w:rPr>
          <w:rFonts w:eastAsia="Calibri" w:cs="Arial"/>
          <w:i/>
          <w:iCs/>
          <w:color w:val="262626"/>
          <w:kern w:val="0"/>
          <w:sz w:val="24"/>
          <w:szCs w:val="24"/>
        </w:rPr>
        <w:t>are required to co-operate with management to enable GMCA to meet its own legal duties</w:t>
      </w:r>
      <w:r>
        <w:rPr>
          <w:rFonts w:eastAsia="Calibri" w:cs="Arial"/>
          <w:i/>
          <w:iCs/>
          <w:color w:val="262626"/>
          <w:spacing w:val="1"/>
          <w:kern w:val="0"/>
          <w:sz w:val="24"/>
          <w:szCs w:val="24"/>
        </w:rPr>
        <w:t xml:space="preserve"> </w:t>
      </w:r>
      <w:r>
        <w:rPr>
          <w:rFonts w:eastAsia="Calibri" w:cs="Arial"/>
          <w:i/>
          <w:iCs/>
          <w:color w:val="262626"/>
          <w:kern w:val="0"/>
          <w:sz w:val="24"/>
          <w:szCs w:val="24"/>
        </w:rPr>
        <w:t>and</w:t>
      </w:r>
      <w:r>
        <w:rPr>
          <w:rFonts w:eastAsia="Calibri" w:cs="Arial"/>
          <w:i/>
          <w:iCs/>
          <w:color w:val="262626"/>
          <w:spacing w:val="-5"/>
          <w:kern w:val="0"/>
          <w:sz w:val="24"/>
          <w:szCs w:val="24"/>
        </w:rPr>
        <w:t xml:space="preserve"> </w:t>
      </w:r>
      <w:r>
        <w:rPr>
          <w:rFonts w:eastAsia="Calibri" w:cs="Arial"/>
          <w:i/>
          <w:iCs/>
          <w:color w:val="262626"/>
          <w:kern w:val="0"/>
          <w:sz w:val="24"/>
          <w:szCs w:val="24"/>
        </w:rPr>
        <w:t>to</w:t>
      </w:r>
      <w:r>
        <w:rPr>
          <w:rFonts w:eastAsia="Calibri" w:cs="Arial"/>
          <w:i/>
          <w:iCs/>
          <w:color w:val="262626"/>
          <w:spacing w:val="-5"/>
          <w:kern w:val="0"/>
          <w:sz w:val="24"/>
          <w:szCs w:val="24"/>
        </w:rPr>
        <w:t xml:space="preserve"> </w:t>
      </w:r>
      <w:r>
        <w:rPr>
          <w:rFonts w:eastAsia="Calibri" w:cs="Arial"/>
          <w:i/>
          <w:iCs/>
          <w:color w:val="262626"/>
          <w:kern w:val="0"/>
          <w:sz w:val="24"/>
          <w:szCs w:val="24"/>
        </w:rPr>
        <w:t>report</w:t>
      </w:r>
      <w:r>
        <w:rPr>
          <w:rFonts w:eastAsia="Calibri" w:cs="Arial"/>
          <w:i/>
          <w:iCs/>
          <w:color w:val="262626"/>
          <w:spacing w:val="-4"/>
          <w:kern w:val="0"/>
          <w:sz w:val="24"/>
          <w:szCs w:val="24"/>
        </w:rPr>
        <w:t xml:space="preserve"> </w:t>
      </w:r>
      <w:r>
        <w:rPr>
          <w:rFonts w:eastAsia="Calibri" w:cs="Arial"/>
          <w:i/>
          <w:iCs/>
          <w:color w:val="262626"/>
          <w:kern w:val="0"/>
          <w:sz w:val="24"/>
          <w:szCs w:val="24"/>
        </w:rPr>
        <w:t>any</w:t>
      </w:r>
      <w:r>
        <w:rPr>
          <w:rFonts w:eastAsia="Calibri" w:cs="Arial"/>
          <w:i/>
          <w:iCs/>
          <w:color w:val="262626"/>
          <w:spacing w:val="-8"/>
          <w:kern w:val="0"/>
          <w:sz w:val="24"/>
          <w:szCs w:val="24"/>
        </w:rPr>
        <w:t xml:space="preserve"> </w:t>
      </w:r>
      <w:r>
        <w:rPr>
          <w:rFonts w:eastAsia="Calibri" w:cs="Arial"/>
          <w:i/>
          <w:iCs/>
          <w:color w:val="262626"/>
          <w:kern w:val="0"/>
          <w:sz w:val="24"/>
          <w:szCs w:val="24"/>
        </w:rPr>
        <w:t>circumstances</w:t>
      </w:r>
      <w:r>
        <w:rPr>
          <w:rFonts w:eastAsia="Calibri" w:cs="Arial"/>
          <w:i/>
          <w:iCs/>
          <w:color w:val="262626"/>
          <w:spacing w:val="-7"/>
          <w:kern w:val="0"/>
          <w:sz w:val="24"/>
          <w:szCs w:val="24"/>
        </w:rPr>
        <w:t xml:space="preserve"> </w:t>
      </w:r>
      <w:r>
        <w:rPr>
          <w:rFonts w:eastAsia="Calibri" w:cs="Arial"/>
          <w:i/>
          <w:iCs/>
          <w:color w:val="262626"/>
          <w:kern w:val="0"/>
          <w:sz w:val="24"/>
          <w:szCs w:val="24"/>
        </w:rPr>
        <w:t>that</w:t>
      </w:r>
      <w:r>
        <w:rPr>
          <w:rFonts w:eastAsia="Calibri" w:cs="Arial"/>
          <w:i/>
          <w:iCs/>
          <w:color w:val="262626"/>
          <w:spacing w:val="-5"/>
          <w:kern w:val="0"/>
          <w:sz w:val="24"/>
          <w:szCs w:val="24"/>
        </w:rPr>
        <w:t xml:space="preserve"> </w:t>
      </w:r>
      <w:r>
        <w:rPr>
          <w:rFonts w:eastAsia="Calibri" w:cs="Arial"/>
          <w:i/>
          <w:iCs/>
          <w:color w:val="262626"/>
          <w:kern w:val="0"/>
          <w:sz w:val="24"/>
          <w:szCs w:val="24"/>
        </w:rPr>
        <w:t>may</w:t>
      </w:r>
      <w:r>
        <w:rPr>
          <w:rFonts w:eastAsia="Calibri" w:cs="Arial"/>
          <w:i/>
          <w:iCs/>
          <w:color w:val="262626"/>
          <w:spacing w:val="-8"/>
          <w:kern w:val="0"/>
          <w:sz w:val="24"/>
          <w:szCs w:val="24"/>
        </w:rPr>
        <w:t xml:space="preserve"> </w:t>
      </w:r>
      <w:r>
        <w:rPr>
          <w:rFonts w:eastAsia="Calibri" w:cs="Arial"/>
          <w:i/>
          <w:iCs/>
          <w:color w:val="262626"/>
          <w:kern w:val="0"/>
          <w:sz w:val="24"/>
          <w:szCs w:val="24"/>
        </w:rPr>
        <w:t>compromise</w:t>
      </w:r>
      <w:r>
        <w:rPr>
          <w:rFonts w:eastAsia="Calibri" w:cs="Arial"/>
          <w:i/>
          <w:iCs/>
          <w:color w:val="262626"/>
          <w:spacing w:val="-4"/>
          <w:kern w:val="0"/>
          <w:sz w:val="24"/>
          <w:szCs w:val="24"/>
        </w:rPr>
        <w:t xml:space="preserve"> </w:t>
      </w:r>
      <w:r>
        <w:rPr>
          <w:rFonts w:eastAsia="Calibri" w:cs="Arial"/>
          <w:i/>
          <w:iCs/>
          <w:color w:val="262626"/>
          <w:kern w:val="0"/>
          <w:sz w:val="24"/>
          <w:szCs w:val="24"/>
        </w:rPr>
        <w:t>the</w:t>
      </w:r>
      <w:r>
        <w:rPr>
          <w:rFonts w:eastAsia="Calibri" w:cs="Arial"/>
          <w:i/>
          <w:iCs/>
          <w:color w:val="262626"/>
          <w:spacing w:val="-6"/>
          <w:kern w:val="0"/>
          <w:sz w:val="24"/>
          <w:szCs w:val="24"/>
        </w:rPr>
        <w:t xml:space="preserve"> </w:t>
      </w:r>
      <w:r>
        <w:rPr>
          <w:rFonts w:eastAsia="Calibri" w:cs="Arial"/>
          <w:i/>
          <w:iCs/>
          <w:color w:val="262626"/>
          <w:kern w:val="0"/>
          <w:sz w:val="24"/>
          <w:szCs w:val="24"/>
        </w:rPr>
        <w:t>health,</w:t>
      </w:r>
      <w:r>
        <w:rPr>
          <w:rFonts w:eastAsia="Calibri" w:cs="Arial"/>
          <w:i/>
          <w:iCs/>
          <w:color w:val="262626"/>
          <w:spacing w:val="-4"/>
          <w:kern w:val="0"/>
          <w:sz w:val="24"/>
          <w:szCs w:val="24"/>
        </w:rPr>
        <w:t xml:space="preserve"> </w:t>
      </w:r>
      <w:r>
        <w:rPr>
          <w:rFonts w:eastAsia="Calibri" w:cs="Arial"/>
          <w:i/>
          <w:iCs/>
          <w:color w:val="262626"/>
          <w:kern w:val="0"/>
          <w:sz w:val="24"/>
          <w:szCs w:val="24"/>
        </w:rPr>
        <w:t>safety</w:t>
      </w:r>
      <w:r>
        <w:rPr>
          <w:rFonts w:eastAsia="Calibri" w:cs="Arial"/>
          <w:i/>
          <w:iCs/>
          <w:color w:val="262626"/>
          <w:spacing w:val="-7"/>
          <w:kern w:val="0"/>
          <w:sz w:val="24"/>
          <w:szCs w:val="24"/>
        </w:rPr>
        <w:t xml:space="preserve"> </w:t>
      </w:r>
      <w:r>
        <w:rPr>
          <w:rFonts w:eastAsia="Calibri" w:cs="Arial"/>
          <w:i/>
          <w:iCs/>
          <w:color w:val="262626"/>
          <w:kern w:val="0"/>
          <w:sz w:val="24"/>
          <w:szCs w:val="24"/>
        </w:rPr>
        <w:t>and</w:t>
      </w:r>
      <w:r>
        <w:rPr>
          <w:rFonts w:eastAsia="Calibri" w:cs="Arial"/>
          <w:i/>
          <w:iCs/>
          <w:color w:val="262626"/>
          <w:spacing w:val="-5"/>
          <w:kern w:val="0"/>
          <w:sz w:val="24"/>
          <w:szCs w:val="24"/>
        </w:rPr>
        <w:t xml:space="preserve"> </w:t>
      </w:r>
      <w:r>
        <w:rPr>
          <w:rFonts w:eastAsia="Calibri" w:cs="Arial"/>
          <w:i/>
          <w:iCs/>
          <w:color w:val="262626"/>
          <w:kern w:val="0"/>
          <w:sz w:val="24"/>
          <w:szCs w:val="24"/>
        </w:rPr>
        <w:t>welfare</w:t>
      </w:r>
      <w:r>
        <w:rPr>
          <w:rFonts w:eastAsia="Calibri" w:cs="Arial"/>
          <w:i/>
          <w:iCs/>
          <w:color w:val="262626"/>
          <w:spacing w:val="-4"/>
          <w:kern w:val="0"/>
          <w:sz w:val="24"/>
          <w:szCs w:val="24"/>
        </w:rPr>
        <w:t xml:space="preserve"> </w:t>
      </w:r>
      <w:r>
        <w:rPr>
          <w:rFonts w:eastAsia="Calibri" w:cs="Arial"/>
          <w:i/>
          <w:iCs/>
          <w:color w:val="262626"/>
          <w:kern w:val="0"/>
          <w:sz w:val="24"/>
          <w:szCs w:val="24"/>
        </w:rPr>
        <w:t>of</w:t>
      </w:r>
      <w:r>
        <w:rPr>
          <w:rFonts w:eastAsia="Calibri" w:cs="Arial"/>
          <w:i/>
          <w:iCs/>
          <w:color w:val="262626"/>
          <w:spacing w:val="-4"/>
          <w:kern w:val="0"/>
          <w:sz w:val="24"/>
          <w:szCs w:val="24"/>
        </w:rPr>
        <w:t xml:space="preserve"> </w:t>
      </w:r>
      <w:r>
        <w:rPr>
          <w:rFonts w:eastAsia="Calibri" w:cs="Arial"/>
          <w:i/>
          <w:iCs/>
          <w:color w:val="262626"/>
          <w:kern w:val="0"/>
          <w:sz w:val="24"/>
          <w:szCs w:val="24"/>
        </w:rPr>
        <w:t>those</w:t>
      </w:r>
      <w:r>
        <w:rPr>
          <w:rFonts w:eastAsia="Calibri" w:cs="Arial"/>
          <w:i/>
          <w:iCs/>
          <w:color w:val="262626"/>
          <w:spacing w:val="-59"/>
          <w:kern w:val="0"/>
          <w:sz w:val="24"/>
          <w:szCs w:val="24"/>
        </w:rPr>
        <w:t xml:space="preserve"> </w:t>
      </w:r>
      <w:r>
        <w:rPr>
          <w:rFonts w:eastAsia="Calibri" w:cs="Arial"/>
          <w:i/>
          <w:iCs/>
          <w:color w:val="262626"/>
          <w:kern w:val="0"/>
          <w:sz w:val="24"/>
          <w:szCs w:val="24"/>
        </w:rPr>
        <w:t>affected by</w:t>
      </w:r>
      <w:r>
        <w:rPr>
          <w:rFonts w:eastAsia="Calibri" w:cs="Arial"/>
          <w:i/>
          <w:iCs/>
          <w:color w:val="262626"/>
          <w:spacing w:val="-4"/>
          <w:kern w:val="0"/>
          <w:sz w:val="24"/>
          <w:szCs w:val="24"/>
        </w:rPr>
        <w:t xml:space="preserve"> </w:t>
      </w:r>
      <w:r>
        <w:rPr>
          <w:rFonts w:eastAsia="Calibri" w:cs="Arial"/>
          <w:i/>
          <w:iCs/>
          <w:color w:val="262626"/>
          <w:kern w:val="0"/>
          <w:sz w:val="24"/>
          <w:szCs w:val="24"/>
        </w:rPr>
        <w:t>the Service’s</w:t>
      </w:r>
      <w:r>
        <w:rPr>
          <w:rFonts w:eastAsia="Calibri" w:cs="Arial"/>
          <w:i/>
          <w:iCs/>
          <w:color w:val="262626"/>
          <w:spacing w:val="2"/>
          <w:kern w:val="0"/>
          <w:sz w:val="24"/>
          <w:szCs w:val="24"/>
        </w:rPr>
        <w:t xml:space="preserve"> </w:t>
      </w:r>
      <w:r>
        <w:rPr>
          <w:rFonts w:eastAsia="Calibri" w:cs="Arial"/>
          <w:i/>
          <w:iCs/>
          <w:color w:val="262626"/>
          <w:kern w:val="0"/>
          <w:sz w:val="24"/>
          <w:szCs w:val="24"/>
        </w:rPr>
        <w:t>undertakings.</w:t>
        <w:br/>
      </w:r>
    </w:p>
    <w:p>
      <w:pPr>
        <w:pStyle w:val="Normal"/>
        <w:widowControl w:val="false"/>
        <w:spacing w:lineRule="auto" w:line="240" w:before="0" w:after="0"/>
        <w:rPr/>
      </w:pPr>
      <w:r>
        <w:rPr>
          <w:rFonts w:eastAsia="Calibri" w:cs="Arial"/>
          <w:b/>
          <w:bCs/>
          <w:i/>
          <w:iCs/>
          <w:color w:val="262626"/>
          <w:kern w:val="0"/>
          <w:sz w:val="24"/>
          <w:szCs w:val="24"/>
        </w:rPr>
        <w:t>Service Policies</w:t>
      </w:r>
      <w:r>
        <w:rPr>
          <w:rFonts w:eastAsia="Calibri" w:cs="Arial"/>
          <w:i/>
          <w:iCs/>
          <w:color w:val="262626"/>
          <w:kern w:val="0"/>
          <w:sz w:val="24"/>
          <w:szCs w:val="24"/>
        </w:rPr>
        <w:t xml:space="preserve"> - All GMCA employees must observe and adhere to the provisions outlined</w:t>
      </w:r>
      <w:r>
        <w:rPr>
          <w:rFonts w:eastAsia="Calibri" w:cs="Arial"/>
          <w:i/>
          <w:iCs/>
          <w:color w:val="262626"/>
          <w:spacing w:val="-59"/>
          <w:kern w:val="0"/>
          <w:sz w:val="24"/>
          <w:szCs w:val="24"/>
        </w:rPr>
        <w:t xml:space="preserve"> </w:t>
      </w:r>
      <w:r>
        <w:rPr>
          <w:rFonts w:eastAsia="Calibri" w:cs="Arial"/>
          <w:i/>
          <w:iCs/>
          <w:color w:val="262626"/>
          <w:kern w:val="0"/>
          <w:sz w:val="24"/>
          <w:szCs w:val="24"/>
        </w:rPr>
        <w:t>in</w:t>
      </w:r>
      <w:r>
        <w:rPr>
          <w:rFonts w:eastAsia="Calibri" w:cs="Arial"/>
          <w:i/>
          <w:iCs/>
          <w:color w:val="262626"/>
          <w:spacing w:val="-1"/>
          <w:kern w:val="0"/>
          <w:sz w:val="24"/>
          <w:szCs w:val="24"/>
        </w:rPr>
        <w:t xml:space="preserve"> </w:t>
      </w:r>
      <w:r>
        <w:rPr>
          <w:rFonts w:eastAsia="Calibri" w:cs="Arial"/>
          <w:i/>
          <w:iCs/>
          <w:color w:val="262626"/>
          <w:kern w:val="0"/>
          <w:sz w:val="24"/>
          <w:szCs w:val="24"/>
        </w:rPr>
        <w:t>these policies.</w:t>
        <w:br/>
      </w:r>
    </w:p>
    <w:p>
      <w:pPr>
        <w:pStyle w:val="Normal"/>
        <w:widowControl w:val="false"/>
        <w:spacing w:lineRule="auto" w:line="240" w:before="0" w:after="0"/>
        <w:rPr/>
      </w:pPr>
      <w:r>
        <w:rPr>
          <w:rFonts w:eastAsia="Calibri" w:cs="Arial"/>
          <w:b/>
          <w:bCs/>
          <w:i/>
          <w:iCs/>
          <w:color w:val="262626"/>
          <w:kern w:val="0"/>
          <w:sz w:val="24"/>
          <w:szCs w:val="24"/>
        </w:rPr>
        <w:t>Equal Opportunities</w:t>
      </w:r>
      <w:r>
        <w:rPr>
          <w:rFonts w:eastAsia="Calibri" w:cs="Arial"/>
          <w:i/>
          <w:iCs/>
          <w:color w:val="262626"/>
          <w:kern w:val="0"/>
          <w:sz w:val="24"/>
          <w:szCs w:val="24"/>
        </w:rPr>
        <w:t xml:space="preserve"> - GMCA provides a range of services and employment</w:t>
      </w:r>
      <w:r>
        <w:rPr>
          <w:rFonts w:eastAsia="Calibri" w:cs="Arial"/>
          <w:i/>
          <w:iCs/>
          <w:color w:val="262626"/>
          <w:spacing w:val="1"/>
          <w:kern w:val="0"/>
          <w:sz w:val="24"/>
          <w:szCs w:val="24"/>
        </w:rPr>
        <w:t xml:space="preserve"> </w:t>
      </w:r>
      <w:r>
        <w:rPr>
          <w:rFonts w:eastAsia="Calibri" w:cs="Arial"/>
          <w:i/>
          <w:iCs/>
          <w:color w:val="262626"/>
          <w:kern w:val="0"/>
          <w:sz w:val="24"/>
          <w:szCs w:val="24"/>
        </w:rPr>
        <w:t>opportunities for a diverse population. As a GMCA employee you are expected to treat all employees / partners / members of the public and work colleagues with dignity and</w:t>
      </w:r>
      <w:r>
        <w:rPr>
          <w:rFonts w:eastAsia="Calibri" w:cs="Arial"/>
          <w:i/>
          <w:iCs/>
          <w:color w:val="262626"/>
          <w:spacing w:val="1"/>
          <w:kern w:val="0"/>
          <w:sz w:val="24"/>
          <w:szCs w:val="24"/>
        </w:rPr>
        <w:t xml:space="preserve"> </w:t>
      </w:r>
      <w:r>
        <w:rPr>
          <w:rFonts w:eastAsia="Calibri" w:cs="Arial"/>
          <w:i/>
          <w:iCs/>
          <w:color w:val="262626"/>
          <w:kern w:val="0"/>
          <w:sz w:val="24"/>
          <w:szCs w:val="24"/>
        </w:rPr>
        <w:t>respect</w:t>
      </w:r>
      <w:r>
        <w:rPr>
          <w:rFonts w:eastAsia="Calibri" w:cs="Arial"/>
          <w:i/>
          <w:iCs/>
          <w:color w:val="262626"/>
          <w:spacing w:val="-2"/>
          <w:kern w:val="0"/>
          <w:sz w:val="24"/>
          <w:szCs w:val="24"/>
        </w:rPr>
        <w:t xml:space="preserve"> </w:t>
      </w:r>
      <w:r>
        <w:rPr>
          <w:rFonts w:eastAsia="Calibri" w:cs="Arial"/>
          <w:i/>
          <w:iCs/>
          <w:color w:val="262626"/>
          <w:kern w:val="0"/>
          <w:sz w:val="24"/>
          <w:szCs w:val="24"/>
        </w:rPr>
        <w:t>irrespective</w:t>
      </w:r>
      <w:r>
        <w:rPr>
          <w:rFonts w:eastAsia="Calibri" w:cs="Arial"/>
          <w:i/>
          <w:iCs/>
          <w:color w:val="262626"/>
          <w:spacing w:val="1"/>
          <w:kern w:val="0"/>
          <w:sz w:val="24"/>
          <w:szCs w:val="24"/>
        </w:rPr>
        <w:t xml:space="preserve"> </w:t>
      </w:r>
      <w:r>
        <w:rPr>
          <w:rFonts w:eastAsia="Calibri" w:cs="Arial"/>
          <w:i/>
          <w:iCs/>
          <w:color w:val="262626"/>
          <w:kern w:val="0"/>
          <w:sz w:val="24"/>
          <w:szCs w:val="24"/>
        </w:rPr>
        <w:t>of</w:t>
      </w:r>
      <w:r>
        <w:rPr>
          <w:rFonts w:eastAsia="Calibri" w:cs="Arial"/>
          <w:i/>
          <w:iCs/>
          <w:color w:val="262626"/>
          <w:spacing w:val="2"/>
          <w:kern w:val="0"/>
          <w:sz w:val="24"/>
          <w:szCs w:val="24"/>
        </w:rPr>
        <w:t xml:space="preserve"> </w:t>
      </w:r>
      <w:r>
        <w:rPr>
          <w:rFonts w:eastAsia="Calibri" w:cs="Arial"/>
          <w:i/>
          <w:iCs/>
          <w:color w:val="262626"/>
          <w:kern w:val="0"/>
          <w:sz w:val="24"/>
          <w:szCs w:val="24"/>
        </w:rPr>
        <w:t>their</w:t>
      </w:r>
      <w:r>
        <w:rPr>
          <w:rFonts w:eastAsia="Calibri" w:cs="Arial"/>
          <w:i/>
          <w:iCs/>
          <w:color w:val="262626"/>
          <w:spacing w:val="2"/>
          <w:kern w:val="0"/>
          <w:sz w:val="24"/>
          <w:szCs w:val="24"/>
        </w:rPr>
        <w:t xml:space="preserve"> </w:t>
      </w:r>
      <w:r>
        <w:rPr>
          <w:rFonts w:eastAsia="Calibri" w:cs="Arial"/>
          <w:i/>
          <w:iCs/>
          <w:color w:val="262626"/>
          <w:kern w:val="0"/>
          <w:sz w:val="24"/>
          <w:szCs w:val="24"/>
        </w:rPr>
        <w:t>background.</w:t>
      </w:r>
    </w:p>
    <w:p>
      <w:pPr>
        <w:pStyle w:val="Normal"/>
        <w:spacing w:lineRule="auto" w:line="240" w:before="0" w:after="0"/>
        <w:rPr/>
      </w:pPr>
      <w:r>
        <w:rPr/>
      </w:r>
    </w:p>
    <w:sectPr>
      <w:headerReference w:type="default" r:id="rId2"/>
      <w:headerReference w:type="first" r:id="rId3"/>
      <w:footerReference w:type="default" r:id="rId4"/>
      <w:footerReference w:type="first" r:id="rId5"/>
      <w:type w:val="nextPage"/>
      <w:pgSz w:w="11906" w:h="16850"/>
      <w:pgMar w:left="720" w:right="720" w:header="709" w:top="766" w:footer="0" w:bottom="720" w:gutter="0"/>
      <w:pgNumType w:fmt="decimal"/>
      <w:formProt w:val="false"/>
      <w:titlePg/>
      <w:textDirection w:val="lrTb"/>
      <w:docGrid w:type="default" w:linePitch="326"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Display">
    <w:charset w:val="00"/>
    <w:family w:val="roman"/>
    <w:pitch w:val="variable"/>
  </w:font>
  <w:font w:name="Aptos">
    <w:charset w:val="00"/>
    <w:family w:val="roman"/>
    <w:pitch w:val="variable"/>
  </w:font>
  <w:font w:name="Courier New">
    <w:charset w:val="01"/>
    <w:family w:val="modern"/>
    <w:pitch w:val="default"/>
  </w:font>
  <w:font w:name="Wingdings">
    <w:charset w:val="02"/>
    <w:family w:val="auto"/>
    <w:pitch w:val="variable"/>
  </w:font>
  <w:font w:name="Arial">
    <w:charset w:val="01"/>
    <w:family w:val="swiss"/>
    <w:pitch w:val="variable"/>
  </w:font>
  <w:font w:name="Symbol">
    <w:charset w:val="00"/>
    <w:family w:val="roman"/>
    <w:pitch w:val="variable"/>
  </w:font>
  <w:font w:name="Courier Ne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7</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52" w:before="0" w:after="16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2">
          <wp:simplePos x="0" y="0"/>
          <wp:positionH relativeFrom="column">
            <wp:posOffset>4764405</wp:posOffset>
          </wp:positionH>
          <wp:positionV relativeFrom="paragraph">
            <wp:posOffset>-317500</wp:posOffset>
          </wp:positionV>
          <wp:extent cx="2189480" cy="68580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9" t="-61" r="-19" b="-61"/>
                  <a:stretch>
                    <a:fillRect/>
                  </a:stretch>
                </pic:blipFill>
                <pic:spPr bwMode="auto">
                  <a:xfrm>
                    <a:off x="0" y="0"/>
                    <a:ext cx="2189480" cy="685800"/>
                  </a:xfrm>
                  <a:prstGeom prst="rect">
                    <a:avLst/>
                  </a:prstGeom>
                </pic:spPr>
              </pic:pic>
            </a:graphicData>
          </a:graphic>
        </wp:anchor>
      </w:drawing>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none"/>
      <w:suff w:val="nothing"/>
      <w:lvlText w:val=""/>
      <w:lvlJc w:val="left"/>
      <w:pPr>
        <w:ind w:left="0" w:hanging="0"/>
      </w:pPr>
      <w:rPr/>
    </w:lvl>
    <w:lvl w:ilvl="2">
      <w:start w:val="1"/>
      <w:pStyle w:val="Heading3"/>
      <w:numFmt w:val="none"/>
      <w:suff w:val="nothing"/>
      <w:lvlText w:val=""/>
      <w:lvlJc w:val="left"/>
      <w:pPr>
        <w:ind w:left="0" w:hanging="0"/>
      </w:pPr>
      <w:rPr/>
    </w:lvl>
    <w:lvl w:ilvl="3">
      <w:start w:val="1"/>
      <w:pStyle w:val="Heading4"/>
      <w:numFmt w:val="none"/>
      <w:suff w:val="nothing"/>
      <w:lvlText w:val=""/>
      <w:lvlJc w:val="left"/>
      <w:pPr>
        <w:ind w:left="0" w:hanging="0"/>
      </w:pPr>
      <w:rPr/>
    </w:lvl>
    <w:lvl w:ilvl="4">
      <w:start w:val="1"/>
      <w:pStyle w:val="Heading5"/>
      <w:numFmt w:val="none"/>
      <w:suff w:val="nothing"/>
      <w:lvlText w:val=""/>
      <w:lvlJc w:val="left"/>
      <w:pPr>
        <w:ind w:left="0" w:hanging="0"/>
      </w:pPr>
      <w:rPr/>
    </w:lvl>
    <w:lvl w:ilvl="5">
      <w:start w:val="1"/>
      <w:pStyle w:val="Heading6"/>
      <w:numFmt w:val="none"/>
      <w:suff w:val="nothing"/>
      <w:lvlText w:val=""/>
      <w:lvlJc w:val="left"/>
      <w:pPr>
        <w:ind w:left="0" w:hanging="0"/>
      </w:pPr>
      <w:rPr/>
    </w:lvl>
    <w:lvl w:ilvl="6">
      <w:start w:val="1"/>
      <w:pStyle w:val="Heading7"/>
      <w:numFmt w:val="none"/>
      <w:suff w:val="nothing"/>
      <w:lvlText w:val=""/>
      <w:lvlJc w:val="left"/>
      <w:pPr>
        <w:ind w:left="0" w:hanging="0"/>
      </w:pPr>
      <w:rPr/>
    </w:lvl>
    <w:lvl w:ilvl="7">
      <w:start w:val="1"/>
      <w:pStyle w:val="Heading8"/>
      <w:numFmt w:val="none"/>
      <w:suff w:val="nothing"/>
      <w:lvlText w:val=""/>
      <w:lvlJc w:val="left"/>
      <w:pPr>
        <w:ind w:left="0" w:hanging="0"/>
      </w:pPr>
      <w:rPr/>
    </w:lvl>
    <w:lvl w:ilvl="8">
      <w:start w:val="1"/>
      <w:pStyle w:val="Heading9"/>
      <w:numFmt w:val="none"/>
      <w:suff w:val="nothing"/>
      <w:lvlText w:val=""/>
      <w:lvlJc w:val="left"/>
      <w:pPr>
        <w:ind w:left="0" w:hanging="0"/>
      </w:pPr>
      <w:rPr/>
    </w:lvl>
  </w:abstractNum>
  <w:abstractNum w:abstractNumId="2">
    <w:lvl w:ilvl="0">
      <w:start w:val="1"/>
      <w:numFmt w:val="bullet"/>
      <w:lvlText w:val=""/>
      <w:lvlJc w:val="left"/>
      <w:pPr>
        <w:ind w:left="360" w:hanging="360"/>
      </w:pPr>
      <w:rPr>
        <w:rFonts w:ascii="Symbol" w:hAnsi="Symbol" w:cs="Symbol" w:hint="default"/>
        <w:sz w:val="24"/>
        <w:kern w:val="0"/>
        <w:szCs w:val="24"/>
        <w:rFonts w:cs="Symbol"/>
        <w:color w:val="262626"/>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sz w:val="24"/>
        <w:kern w:val="0"/>
        <w:szCs w:val="24"/>
        <w:rFonts w:cs="Symbol"/>
        <w:color w:val="262626"/>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sz w:val="24"/>
        <w:kern w:val="0"/>
        <w:szCs w:val="24"/>
        <w:rFonts w:cs="Symbol"/>
        <w:color w:val="262626"/>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Symbol" w:hAnsi="Symbol" w:cs="Symbol" w:hint="default"/>
        <w:sz w:val="24"/>
        <w:rFonts w:cs="Symbol"/>
      </w:rPr>
    </w:lvl>
    <w:lvl w:ilvl="1">
      <w:start w:val="1"/>
      <w:numFmt w:val="bullet"/>
      <w:lvlText w:val="•"/>
      <w:lvlJc w:val="left"/>
      <w:pPr>
        <w:ind w:left="1350" w:hanging="630"/>
      </w:pPr>
      <w:rPr>
        <w:rFonts w:ascii="Arial" w:hAnsi="Arial" w:cs="Arial" w:hint="default"/>
        <w:sz w:val="24"/>
        <w:rFonts w:cs="Arial"/>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Arial" w:hAnsi="Arial" w:cs="Arial" w:hint="default"/>
        <w:sz w:val="24"/>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360" w:hanging="360"/>
      </w:pPr>
      <w:rPr>
        <w:rFonts w:ascii="Symbol" w:hAnsi="Symbol" w:cs="Symbol" w:hint="default"/>
        <w:sz w:val="24"/>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6">
    <w:lvl w:ilvl="0">
      <w:start w:val="1"/>
      <w:numFmt w:val="bullet"/>
      <w:lvlText w:val=""/>
      <w:lvlJc w:val="left"/>
      <w:pPr>
        <w:ind w:left="360" w:hanging="360"/>
      </w:pPr>
      <w:rPr>
        <w:rFonts w:ascii="Symbol" w:hAnsi="Symbol" w:cs="Symbol" w:hint="default"/>
        <w:sz w:val="24"/>
        <w:rFonts w:cs="Symbol"/>
      </w:rPr>
    </w:lvl>
    <w:lvl w:ilvl="1">
      <w:start w:val="1"/>
      <w:numFmt w:val="bullet"/>
      <w:lvlText w:val=""/>
      <w:lvlJc w:val="left"/>
      <w:pPr>
        <w:ind w:left="1080" w:hanging="360"/>
      </w:pPr>
      <w:rPr>
        <w:rFonts w:ascii="Symbol" w:hAnsi="Symbol" w:cs="Symbol" w:hint="default"/>
        <w:rFonts w:cs="Symbol"/>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7">
    <w:lvl w:ilvl="0">
      <w:start w:val="1"/>
      <w:numFmt w:val="decimal"/>
      <w:lvlText w:val="%1."/>
      <w:lvlJc w:val="left"/>
      <w:pPr>
        <w:tabs>
          <w:tab w:val="num" w:pos="360"/>
        </w:tabs>
        <w:ind w:left="360" w:hanging="360"/>
      </w:pPr>
      <w:rPr/>
    </w:lvl>
    <w:lvl w:ilvl="1">
      <w:start w:val="1"/>
      <w:numFmt w:val="bullet"/>
      <w:lvlText w:val="•"/>
      <w:lvlJc w:val="left"/>
      <w:pPr>
        <w:ind w:left="1080" w:hanging="360"/>
      </w:pPr>
      <w:rPr>
        <w:rFonts w:ascii="Arial" w:hAnsi="Arial" w:cs="Arial" w:hint="default"/>
        <w:rFonts w:cs="Arial"/>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8">
    <w:lvl w:ilvl="0">
      <w:start w:val="1"/>
      <w:numFmt w:val="bullet"/>
      <w:lvlText w:val=""/>
      <w:lvlJc w:val="left"/>
      <w:pPr>
        <w:tabs>
          <w:tab w:val="num" w:pos="360"/>
        </w:tabs>
        <w:ind w:left="360" w:hanging="360"/>
      </w:pPr>
      <w:rPr>
        <w:rFonts w:ascii="Symbol" w:hAnsi="Symbol" w:cs="Symbol" w:hint="default"/>
        <w:sz w:val="24"/>
        <w:rFonts w:cs="Symbol"/>
      </w:rPr>
    </w:lvl>
    <w:lvl w:ilvl="1">
      <w:start w:val="1"/>
      <w:numFmt w:val="bullet"/>
      <w:lvlText w:val="•"/>
      <w:lvlJc w:val="left"/>
      <w:pPr>
        <w:ind w:left="1080" w:hanging="360"/>
      </w:pPr>
      <w:rPr>
        <w:rFonts w:ascii="Arial" w:hAnsi="Arial" w:cs="Arial" w:hint="default"/>
        <w:rFonts w:cs="Arial"/>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9">
    <w:lvl w:ilvl="0">
      <w:start w:val="1"/>
      <w:numFmt w:val="bullet"/>
      <w:lvlText w:val=""/>
      <w:lvlJc w:val="left"/>
      <w:pPr>
        <w:tabs>
          <w:tab w:val="num" w:pos="360"/>
        </w:tabs>
        <w:ind w:left="360" w:hanging="360"/>
      </w:pPr>
      <w:rPr>
        <w:rFonts w:ascii="Symbol" w:hAnsi="Symbol" w:cs="Symbol" w:hint="default"/>
        <w:sz w:val="24"/>
        <w:rFonts w:cs="Symbol"/>
      </w:rPr>
    </w:lvl>
    <w:lvl w:ilvl="1">
      <w:start w:val="1"/>
      <w:numFmt w:val="bullet"/>
      <w:lvlText w:val="•"/>
      <w:lvlJc w:val="left"/>
      <w:pPr>
        <w:ind w:left="1080" w:hanging="360"/>
      </w:pPr>
      <w:rPr>
        <w:rFonts w:ascii="Arial" w:hAnsi="Arial" w:cs="Arial" w:hint="default"/>
        <w:rFonts w:cs="Arial"/>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0">
    <w:lvl w:ilvl="0">
      <w:start w:val="1"/>
      <w:numFmt w:val="bullet"/>
      <w:lvlText w:val=""/>
      <w:lvlJc w:val="left"/>
      <w:pPr>
        <w:tabs>
          <w:tab w:val="num" w:pos="360"/>
        </w:tabs>
        <w:ind w:left="360" w:hanging="360"/>
      </w:pPr>
      <w:rPr>
        <w:rFonts w:ascii="Symbol" w:hAnsi="Symbol" w:cs="Symbol" w:hint="default"/>
        <w:sz w:val="24"/>
        <w:rFonts w:cs="Symbol"/>
      </w:rPr>
    </w:lvl>
    <w:lvl w:ilvl="1">
      <w:start w:val="1"/>
      <w:numFmt w:val="bullet"/>
      <w:lvlText w:val="•"/>
      <w:lvlJc w:val="left"/>
      <w:pPr>
        <w:ind w:left="1080" w:hanging="360"/>
      </w:pPr>
      <w:rPr>
        <w:rFonts w:ascii="Arial" w:hAnsi="Arial" w:cs="Arial" w:hint="default"/>
        <w:rFonts w:cs="Arial"/>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1">
    <w:lvl w:ilvl="0">
      <w:start w:val="1"/>
      <w:numFmt w:val="bullet"/>
      <w:lvlText w:val=""/>
      <w:lvlJc w:val="left"/>
      <w:pPr>
        <w:tabs>
          <w:tab w:val="num" w:pos="360"/>
        </w:tabs>
        <w:ind w:left="360" w:hanging="360"/>
      </w:pPr>
      <w:rPr>
        <w:rFonts w:ascii="Symbol" w:hAnsi="Symbol" w:cs="Symbol" w:hint="default"/>
        <w:sz w:val="24"/>
        <w:rFonts w:cs="Symbol"/>
      </w:rPr>
    </w:lvl>
    <w:lvl w:ilvl="1">
      <w:start w:val="1"/>
      <w:numFmt w:val="bullet"/>
      <w:lvlText w:val="•"/>
      <w:lvlJc w:val="left"/>
      <w:pPr>
        <w:ind w:left="1080" w:hanging="360"/>
      </w:pPr>
      <w:rPr>
        <w:rFonts w:ascii="Arial" w:hAnsi="Arial" w:cs="Arial" w:hint="default"/>
        <w:rFonts w:cs="Arial"/>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2">
    <w:lvl w:ilvl="0">
      <w:start w:val="1"/>
      <w:numFmt w:val="bullet"/>
      <w:lvlText w:val=""/>
      <w:lvlJc w:val="left"/>
      <w:pPr>
        <w:tabs>
          <w:tab w:val="num" w:pos="360"/>
        </w:tabs>
        <w:ind w:left="360" w:hanging="360"/>
      </w:pPr>
      <w:rPr>
        <w:rFonts w:ascii="Symbol" w:hAnsi="Symbol" w:cs="Symbol" w:hint="default"/>
        <w:sz w:val="24"/>
        <w:rFonts w:cs="Symbol"/>
      </w:rPr>
    </w:lvl>
    <w:lvl w:ilvl="1">
      <w:start w:val="1"/>
      <w:numFmt w:val="bullet"/>
      <w:lvlText w:val="•"/>
      <w:lvlJc w:val="left"/>
      <w:pPr>
        <w:ind w:left="1080" w:hanging="360"/>
      </w:pPr>
      <w:rPr>
        <w:rFonts w:ascii="Arial" w:hAnsi="Arial" w:cs="Arial" w:hint="default"/>
        <w:rFonts w:cs="Arial"/>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3">
    <w:lvl w:ilvl="0">
      <w:start w:val="1"/>
      <w:numFmt w:val="bullet"/>
      <w:lvlText w:val=""/>
      <w:lvlJc w:val="left"/>
      <w:pPr>
        <w:ind w:left="360" w:hanging="360"/>
      </w:pPr>
      <w:rPr>
        <w:rFonts w:ascii="Symbol" w:hAnsi="Symbol" w:cs="Symbol" w:hint="default"/>
        <w:sz w:val="24"/>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4">
    <w:lvl w:ilvl="0">
      <w:start w:val="1"/>
      <w:numFmt w:val="bullet"/>
      <w:lvlText w:val=""/>
      <w:lvlJc w:val="left"/>
      <w:pPr>
        <w:ind w:left="360" w:hanging="360"/>
      </w:pPr>
      <w:rPr>
        <w:rFonts w:ascii="Symbol" w:hAnsi="Symbol" w:cs="Symbol" w:hint="default"/>
        <w:sz w:val="24"/>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5">
    <w:lvl w:ilvl="0">
      <w:start w:val="1"/>
      <w:numFmt w:val="bullet"/>
      <w:lvlText w:val=""/>
      <w:lvlJc w:val="left"/>
      <w:pPr>
        <w:ind w:left="360" w:hanging="360"/>
      </w:pPr>
      <w:rPr>
        <w:rFonts w:ascii="Symbol" w:hAnsi="Symbol" w:cs="Symbol" w:hint="default"/>
        <w:sz w:val="24"/>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6">
    <w:lvl w:ilvl="0">
      <w:start w:val="1"/>
      <w:numFmt w:val="bullet"/>
      <w:lvlText w:val=""/>
      <w:lvlJc w:val="left"/>
      <w:pPr>
        <w:ind w:left="360" w:hanging="360"/>
      </w:pPr>
      <w:rPr>
        <w:rFonts w:ascii="Symbol" w:hAnsi="Symbol" w:cs="Symbol" w:hint="default"/>
        <w:sz w:val="24"/>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17">
    <w:lvl w:ilvl="0">
      <w:start w:val="1"/>
      <w:numFmt w:val="bullet"/>
      <w:lvlText w:val=""/>
      <w:lvlJc w:val="left"/>
      <w:pPr>
        <w:tabs>
          <w:tab w:val="num" w:pos="360"/>
        </w:tabs>
        <w:ind w:left="360" w:hanging="360"/>
      </w:pPr>
      <w:rPr>
        <w:rFonts w:ascii="Symbol" w:hAnsi="Symbol" w:cs="Symbol" w:hint="default"/>
        <w:sz w:val="24"/>
        <w:rFonts w:cs="Symbol"/>
      </w:rPr>
    </w:lvl>
    <w:lvl w:ilvl="1">
      <w:start w:val="1"/>
      <w:numFmt w:val="bullet"/>
      <w:lvlText w:val="•"/>
      <w:lvlJc w:val="left"/>
      <w:pPr>
        <w:ind w:left="1080" w:hanging="360"/>
      </w:pPr>
      <w:rPr>
        <w:rFonts w:ascii="Arial" w:hAnsi="Arial" w:cs="Arial" w:hint="default"/>
        <w:rFonts w:cs="Arial"/>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8">
    <w:lvl w:ilvl="0">
      <w:start w:val="1"/>
      <w:numFmt w:val="bullet"/>
      <w:lvlText w:val=""/>
      <w:lvlJc w:val="left"/>
      <w:pPr>
        <w:tabs>
          <w:tab w:val="num" w:pos="360"/>
        </w:tabs>
        <w:ind w:left="360" w:hanging="360"/>
      </w:pPr>
      <w:rPr>
        <w:rFonts w:ascii="Symbol" w:hAnsi="Symbol" w:cs="Symbol" w:hint="default"/>
        <w:sz w:val="24"/>
        <w:rFonts w:cs="Symbol"/>
      </w:rPr>
    </w:lvl>
    <w:lvl w:ilvl="1">
      <w:start w:val="1"/>
      <w:numFmt w:val="bullet"/>
      <w:lvlText w:val="•"/>
      <w:lvlJc w:val="left"/>
      <w:pPr>
        <w:ind w:left="1080" w:hanging="360"/>
      </w:pPr>
      <w:rPr>
        <w:rFonts w:ascii="Arial" w:hAnsi="Arial" w:cs="Arial" w:hint="default"/>
        <w:rFonts w:cs="Arial"/>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19">
    <w:lvl w:ilvl="0">
      <w:start w:val="1"/>
      <w:numFmt w:val="bullet"/>
      <w:lvlText w:val=""/>
      <w:lvlJc w:val="left"/>
      <w:pPr>
        <w:tabs>
          <w:tab w:val="num" w:pos="360"/>
        </w:tabs>
        <w:ind w:left="360" w:hanging="360"/>
      </w:pPr>
      <w:rPr>
        <w:rFonts w:ascii="Symbol" w:hAnsi="Symbol" w:cs="Symbol" w:hint="default"/>
        <w:sz w:val="24"/>
        <w:rFonts w:cs="Symbol"/>
      </w:rPr>
    </w:lvl>
    <w:lvl w:ilvl="1">
      <w:start w:val="1"/>
      <w:numFmt w:val="bullet"/>
      <w:lvlText w:val="•"/>
      <w:lvlJc w:val="left"/>
      <w:pPr>
        <w:ind w:left="1080" w:hanging="360"/>
      </w:pPr>
      <w:rPr>
        <w:rFonts w:ascii="Arial" w:hAnsi="Arial" w:cs="Arial" w:hint="default"/>
        <w:rFonts w:cs="Arial"/>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trackRevisions/>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2" w:before="0" w:after="160"/>
      <w:jc w:val="left"/>
    </w:pPr>
    <w:rPr>
      <w:rFonts w:ascii="Arial" w:hAnsi="Arial" w:eastAsia="Aptos" w:cs="Lucida Sans"/>
      <w:color w:val="auto"/>
      <w:kern w:val="2"/>
      <w:sz w:val="22"/>
      <w:szCs w:val="22"/>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cs="Aptos Display"/>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cs="Aptos Display"/>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ascii="Aptos" w:hAnsi="Aptos" w:cs="Apto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ascii="Aptos" w:hAnsi="Aptos" w:cs="Apto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ascii="Aptos" w:hAnsi="Aptos" w:cs="Aptos"/>
      <w:color w:val="0F4761"/>
    </w:rPr>
  </w:style>
  <w:style w:type="paragraph" w:styleId="Heading6">
    <w:name w:val="Heading 6"/>
    <w:basedOn w:val="Normal"/>
    <w:next w:val="Normal"/>
    <w:qFormat/>
    <w:pPr>
      <w:keepNext w:val="true"/>
      <w:keepLines/>
      <w:numPr>
        <w:ilvl w:val="5"/>
        <w:numId w:val="1"/>
      </w:numPr>
      <w:spacing w:before="40" w:after="0"/>
      <w:outlineLvl w:val="5"/>
    </w:pPr>
    <w:rPr>
      <w:rFonts w:ascii="Aptos" w:hAnsi="Aptos" w:cs="Apto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ascii="Aptos" w:hAnsi="Aptos" w:cs="Aptos"/>
      <w:color w:val="595959"/>
    </w:rPr>
  </w:style>
  <w:style w:type="paragraph" w:styleId="Heading8">
    <w:name w:val="Heading 8"/>
    <w:basedOn w:val="Normal"/>
    <w:next w:val="Normal"/>
    <w:qFormat/>
    <w:pPr>
      <w:keepNext w:val="true"/>
      <w:keepLines/>
      <w:numPr>
        <w:ilvl w:val="7"/>
        <w:numId w:val="1"/>
      </w:numPr>
      <w:spacing w:before="0" w:after="0"/>
      <w:outlineLvl w:val="7"/>
    </w:pPr>
    <w:rPr>
      <w:rFonts w:ascii="Aptos" w:hAnsi="Aptos" w:cs="Apto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ascii="Aptos" w:hAnsi="Aptos" w:cs="Aptos"/>
      <w:color w:val="2727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Calibri" w:cs="Symbol"/>
      <w:color w:val="262626"/>
      <w:kern w:val="0"/>
      <w:sz w:val="24"/>
      <w:szCs w:val="24"/>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sz w:val="24"/>
    </w:rPr>
  </w:style>
  <w:style w:type="character" w:styleId="WW8Num4z1">
    <w:name w:val="WW8Num4z1"/>
    <w:qFormat/>
    <w:rPr>
      <w:rFonts w:ascii="Arial" w:hAnsi="Arial" w:cs="Arial"/>
      <w:sz w:val="24"/>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Arial" w:hAnsi="Arial" w:cs="Arial"/>
      <w:sz w:val="24"/>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sz w:val="24"/>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sz w:val="24"/>
    </w:rPr>
  </w:style>
  <w:style w:type="character" w:styleId="WW8Num7z1">
    <w:name w:val="WW8Num7z1"/>
    <w:qFormat/>
    <w:rPr>
      <w:rFonts w:ascii="Symbol" w:hAnsi="Symbol" w:cs="Symbol"/>
    </w:rPr>
  </w:style>
  <w:style w:type="character" w:styleId="WW8Num7z2">
    <w:name w:val="WW8Num7z2"/>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style>
  <w:style w:type="character" w:styleId="WW8Num8z1">
    <w:name w:val="WW8Num8z1"/>
    <w:qFormat/>
    <w:rPr>
      <w:rFonts w:ascii="Arial" w:hAnsi="Arial" w:cs="Arial"/>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sz w:val="24"/>
    </w:rPr>
  </w:style>
  <w:style w:type="character" w:styleId="WW8Num9z1">
    <w:name w:val="WW8Num9z1"/>
    <w:qFormat/>
    <w:rPr>
      <w:rFonts w:ascii="Arial" w:hAnsi="Arial" w:cs="Arial"/>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Symbol" w:hAnsi="Symbol" w:cs="Symbol"/>
      <w:sz w:val="24"/>
    </w:rPr>
  </w:style>
  <w:style w:type="character" w:styleId="WW8Num10z1">
    <w:name w:val="WW8Num10z1"/>
    <w:qFormat/>
    <w:rPr>
      <w:rFonts w:ascii="Arial" w:hAnsi="Arial" w:cs="Arial"/>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sz w:val="24"/>
    </w:rPr>
  </w:style>
  <w:style w:type="character" w:styleId="WW8Num11z1">
    <w:name w:val="WW8Num11z1"/>
    <w:qFormat/>
    <w:rPr>
      <w:rFonts w:ascii="Arial" w:hAnsi="Arial" w:cs="Arial"/>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Symbol" w:hAnsi="Symbol" w:cs="Symbol"/>
      <w:sz w:val="24"/>
    </w:rPr>
  </w:style>
  <w:style w:type="character" w:styleId="WW8Num12z1">
    <w:name w:val="WW8Num12z1"/>
    <w:qFormat/>
    <w:rPr>
      <w:rFonts w:ascii="Arial" w:hAnsi="Arial" w:cs="Arial"/>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Symbol" w:hAnsi="Symbol" w:cs="Symbol"/>
      <w:sz w:val="24"/>
    </w:rPr>
  </w:style>
  <w:style w:type="character" w:styleId="WW8Num13z1">
    <w:name w:val="WW8Num13z1"/>
    <w:qFormat/>
    <w:rPr>
      <w:rFonts w:ascii="Arial" w:hAnsi="Arial" w:cs="Arial"/>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Symbol" w:hAnsi="Symbol" w:cs="Symbol"/>
      <w:sz w:val="24"/>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sz w:val="24"/>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sz w:val="24"/>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sz w:val="24"/>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sz w:val="24"/>
    </w:rPr>
  </w:style>
  <w:style w:type="character" w:styleId="WW8Num18z1">
    <w:name w:val="WW8Num18z1"/>
    <w:qFormat/>
    <w:rPr>
      <w:rFonts w:ascii="Arial" w:hAnsi="Arial" w:cs="Arial"/>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Symbol" w:hAnsi="Symbol" w:cs="Symbol"/>
      <w:sz w:val="24"/>
    </w:rPr>
  </w:style>
  <w:style w:type="character" w:styleId="WW8Num19z1">
    <w:name w:val="WW8Num19z1"/>
    <w:qFormat/>
    <w:rPr>
      <w:rFonts w:ascii="Arial" w:hAnsi="Arial" w:cs="Arial"/>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Symbol" w:hAnsi="Symbol" w:cs="Symbol"/>
      <w:sz w:val="24"/>
    </w:rPr>
  </w:style>
  <w:style w:type="character" w:styleId="WW8Num20z1">
    <w:name w:val="WW8Num20z1"/>
    <w:qFormat/>
    <w:rPr>
      <w:rFonts w:ascii="Arial" w:hAnsi="Arial" w:cs="Arial"/>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DefaultParagraphFont">
    <w:name w:val="Default Paragraph Font"/>
    <w:qFormat/>
    <w:rPr/>
  </w:style>
  <w:style w:type="character" w:styleId="WW8Num3z3">
    <w:name w:val="WW8Num3z3"/>
    <w:qFormat/>
    <w:rPr>
      <w:rFonts w:ascii="Symbol" w:hAnsi="Symbol" w:cs="Symbol"/>
    </w:rPr>
  </w:style>
  <w:style w:type="character" w:styleId="WW8Num5z4">
    <w:name w:val="WW8Num5z4"/>
    <w:qFormat/>
    <w:rPr>
      <w:rFonts w:ascii="Courier New" w:hAnsi="Courier New" w:cs="Courier New"/>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3">
    <w:name w:val="WW8Num7z3"/>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Heading1Char">
    <w:name w:val="Heading 1 Char"/>
    <w:basedOn w:val="DefaultParagraphFont"/>
    <w:qFormat/>
    <w:rPr>
      <w:rFonts w:ascii="Aptos Display" w:hAnsi="Aptos Display" w:cs="Aptos Display"/>
      <w:color w:val="0F4761"/>
      <w:sz w:val="40"/>
      <w:szCs w:val="40"/>
    </w:rPr>
  </w:style>
  <w:style w:type="character" w:styleId="Heading2Char">
    <w:name w:val="Heading 2 Char"/>
    <w:basedOn w:val="DefaultParagraphFont"/>
    <w:qFormat/>
    <w:rPr>
      <w:rFonts w:ascii="Aptos Display" w:hAnsi="Aptos Display" w:cs="Aptos Display"/>
      <w:color w:val="0F4761"/>
      <w:sz w:val="32"/>
      <w:szCs w:val="32"/>
    </w:rPr>
  </w:style>
  <w:style w:type="character" w:styleId="Heading3Char">
    <w:name w:val="Heading 3 Char"/>
    <w:basedOn w:val="DefaultParagraphFont"/>
    <w:qFormat/>
    <w:rPr>
      <w:color w:val="0F4761"/>
      <w:sz w:val="28"/>
      <w:szCs w:val="28"/>
    </w:rPr>
  </w:style>
  <w:style w:type="character" w:styleId="Heading4Char">
    <w:name w:val="Heading 4 Char"/>
    <w:basedOn w:val="DefaultParagraphFont"/>
    <w:qFormat/>
    <w:rPr>
      <w:i/>
      <w:iCs/>
      <w:color w:val="0F4761"/>
    </w:rPr>
  </w:style>
  <w:style w:type="character" w:styleId="Heading5Char">
    <w:name w:val="Heading 5 Char"/>
    <w:basedOn w:val="DefaultParagraphFont"/>
    <w:qFormat/>
    <w:rPr>
      <w:color w:val="0F4761"/>
    </w:rPr>
  </w:style>
  <w:style w:type="character" w:styleId="Heading6Char">
    <w:name w:val="Heading 6 Char"/>
    <w:basedOn w:val="DefaultParagraphFont"/>
    <w:qFormat/>
    <w:rPr>
      <w:i/>
      <w:iCs/>
      <w:color w:val="595959"/>
    </w:rPr>
  </w:style>
  <w:style w:type="character" w:styleId="Heading7Char">
    <w:name w:val="Heading 7 Char"/>
    <w:basedOn w:val="DefaultParagraphFont"/>
    <w:qFormat/>
    <w:rPr>
      <w:color w:val="595959"/>
    </w:rPr>
  </w:style>
  <w:style w:type="character" w:styleId="Heading8Char">
    <w:name w:val="Heading 8 Char"/>
    <w:basedOn w:val="DefaultParagraphFont"/>
    <w:qFormat/>
    <w:rPr>
      <w:i/>
      <w:iCs/>
      <w:color w:val="272727"/>
    </w:rPr>
  </w:style>
  <w:style w:type="character" w:styleId="Heading9Char">
    <w:name w:val="Heading 9 Char"/>
    <w:basedOn w:val="DefaultParagraphFont"/>
    <w:qFormat/>
    <w:rPr>
      <w:color w:val="272727"/>
    </w:rPr>
  </w:style>
  <w:style w:type="character" w:styleId="TitleChar">
    <w:name w:val="Title Char"/>
    <w:basedOn w:val="DefaultParagraphFont"/>
    <w:qFormat/>
    <w:rPr>
      <w:rFonts w:ascii="Aptos Display" w:hAnsi="Aptos Display" w:cs="Aptos Display"/>
      <w:spacing w:val="-10"/>
      <w:kern w:val="2"/>
      <w:sz w:val="56"/>
      <w:szCs w:val="56"/>
    </w:rPr>
  </w:style>
  <w:style w:type="character" w:styleId="SubtitleChar">
    <w:name w:val="Subtitle Char"/>
    <w:basedOn w:val="DefaultParagraphFont"/>
    <w:qFormat/>
    <w:rPr>
      <w:color w:val="595959"/>
      <w:spacing w:val="15"/>
      <w:sz w:val="28"/>
      <w:szCs w:val="28"/>
    </w:rPr>
  </w:style>
  <w:style w:type="character" w:styleId="QuoteChar">
    <w:name w:val="Quote Char"/>
    <w:basedOn w:val="DefaultParagraphFont"/>
    <w:qFormat/>
    <w:rPr>
      <w:rFonts w:ascii="Arial" w:hAnsi="Arial" w:cs="Arial"/>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rFonts w:ascii="Arial" w:hAnsi="Arial" w:cs="Arial"/>
      <w:i/>
      <w:iCs/>
      <w:color w:val="0F4761"/>
    </w:rPr>
  </w:style>
  <w:style w:type="character" w:styleId="IntenseReference">
    <w:name w:val="Intense Reference"/>
    <w:basedOn w:val="DefaultParagraphFont"/>
    <w:qFormat/>
    <w:rPr>
      <w:b/>
      <w:bCs/>
      <w:smallCaps/>
      <w:color w:val="0F4761"/>
      <w:spacing w:val="5"/>
    </w:rPr>
  </w:style>
  <w:style w:type="character" w:styleId="BodyTextChar">
    <w:name w:val="Body Text Char"/>
    <w:basedOn w:val="DefaultParagraphFont"/>
    <w:qFormat/>
    <w:rPr>
      <w:rFonts w:ascii="Arial" w:hAnsi="Arial" w:cs="Arial"/>
    </w:rPr>
  </w:style>
  <w:style w:type="character" w:styleId="HeaderChar">
    <w:name w:val="Header Char"/>
    <w:basedOn w:val="DefaultParagraphFont"/>
    <w:qFormat/>
    <w:rPr>
      <w:rFonts w:ascii="Arial" w:hAnsi="Arial" w:cs="Arial"/>
    </w:rPr>
  </w:style>
  <w:style w:type="character" w:styleId="FooterChar">
    <w:name w:val="Footer Char"/>
    <w:basedOn w:val="DefaultParagraphFont"/>
    <w:qFormat/>
    <w:rPr>
      <w:rFonts w:ascii="Arial" w:hAnsi="Arial" w:cs="Arial"/>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Arial" w:hAnsi="Arial" w:cs="Arial"/>
      <w:sz w:val="20"/>
      <w:szCs w:val="20"/>
    </w:rPr>
  </w:style>
  <w:style w:type="character" w:styleId="CommentSubjectChar">
    <w:name w:val="Comment Subject Char"/>
    <w:basedOn w:val="CommentTextChar"/>
    <w:qFormat/>
    <w:rPr>
      <w:rFonts w:ascii="Arial" w:hAnsi="Arial" w:cs="Arial"/>
      <w:b/>
      <w:bCs/>
      <w:sz w:val="20"/>
      <w:szCs w:val="20"/>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character" w:styleId="Mention">
    <w:name w:val="Mention"/>
    <w:basedOn w:val="DefaultParagraphFont"/>
    <w:qFormat/>
    <w:rPr>
      <w:color w:val="2B579A"/>
      <w:shd w:fill="E1DFDD" w:val="clear"/>
    </w:rPr>
  </w:style>
  <w:style w:type="character" w:styleId="ListParagraphChar">
    <w:name w:val="List Paragraph Char"/>
    <w:qFormat/>
    <w:rPr>
      <w:rFonts w:ascii="Arial" w:hAnsi="Arial" w:cs="Arial"/>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iberation Sans;Arial"/>
      <w:sz w:val="28"/>
      <w:szCs w:val="28"/>
    </w:rPr>
  </w:style>
  <w:style w:type="paragraph" w:styleId="TextBody">
    <w:name w:val="Body Text"/>
    <w:basedOn w:val="Normal"/>
    <w:pPr>
      <w:spacing w:before="0" w:after="12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sz w:val="24"/>
      <w:szCs w:val="24"/>
    </w:rPr>
  </w:style>
  <w:style w:type="paragraph" w:styleId="Title">
    <w:name w:val="Title"/>
    <w:basedOn w:val="Normal"/>
    <w:next w:val="Normal"/>
    <w:qFormat/>
    <w:pPr>
      <w:spacing w:lineRule="auto" w:line="240" w:before="0" w:after="80"/>
      <w:contextualSpacing/>
    </w:pPr>
    <w:rPr>
      <w:rFonts w:ascii="Aptos Display" w:hAnsi="Aptos Display" w:cs="Aptos Display"/>
      <w:spacing w:val="-10"/>
      <w:sz w:val="56"/>
      <w:szCs w:val="56"/>
    </w:rPr>
  </w:style>
  <w:style w:type="paragraph" w:styleId="Subtitle">
    <w:name w:val="Subtitle"/>
    <w:basedOn w:val="Normal"/>
    <w:next w:val="Normal"/>
    <w:qFormat/>
    <w:pPr/>
    <w:rPr>
      <w:rFonts w:ascii="Aptos" w:hAnsi="Aptos" w:cs="Apto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Arial" w:hAnsi="Arial" w:eastAsia="Aptos" w:cs="Lucida Sans"/>
      <w:color w:val="auto"/>
      <w:kern w:val="2"/>
      <w:sz w:val="22"/>
      <w:szCs w:val="22"/>
      <w:lang w:val="en-GB" w:eastAsia="en-US" w:bidi="ar-SA"/>
    </w:rPr>
  </w:style>
  <w:style w:type="paragraph" w:styleId="NormalWeb">
    <w:name w:val="Normal (Web)"/>
    <w:basedOn w:val="Normal"/>
    <w:qFormat/>
    <w:pPr>
      <w:spacing w:lineRule="auto" w:line="240" w:before="280" w:after="280"/>
    </w:pPr>
    <w:rPr>
      <w:rFonts w:ascii="Times New Roman" w:hAnsi="Times New Roman" w:eastAsia="Times New Roman" w:cs="Times New Roman"/>
      <w:kern w:val="0"/>
      <w:sz w:val="24"/>
      <w:szCs w:val="24"/>
      <w:lang w:eastAsia="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Greater Manchester Combined Authority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2026-06-19T15:37:00Z</dcterms:created>
  <dc:creator>Foster-Ressel, Anna</dc:creator>
  <dc:description/>
  <dc:language>en-US</dc:language>
  <cp:lastModifiedBy>Jessica Skillington</cp:lastModifiedBy>
  <cp:lastPrinted>1995-11-21T17:41:00Z</cp:lastPrinted>
  <dcterms:modified xsi:type="dcterms:W3CDTF">2026-06-19T15:37:00Z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Greater Manchester Combined Authority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