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Property Business Partner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HH07</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Strategic Property</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K</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Head of Strategic Asset Management</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This role offers a unique opportunity to lead and shape the asset management planning and implementation within specific departments. You'll be at the forefront of collaboration, working closely with senior management and designated representatives to develop Service Asset Management Plans.  As the key contact for multiple departments, you will represent them at the Asset Management Working Group, influencing the development of the Corporate Asset Management Plan.  Your impact will extend to diverse projects, including community asset transfers, rationalisation, re-use, and disposal, making a meaningful contribution to the broader goals of the organisation.</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NoSpacing"/>
              <w:spacing w:lineRule="auto" w:line="240" w:before="0" w:after="0"/>
              <w:rPr>
                <w:rFonts w:ascii="Arial" w:hAnsi="Arial" w:cs="Arial"/>
                <w:i/>
                <w:i/>
              </w:rPr>
            </w:pPr>
            <w:r>
              <w:rPr>
                <w:rFonts w:cs="Arial" w:ascii="Arial" w:hAnsi="Arial"/>
                <w:i/>
              </w:rPr>
              <w:t>This list is not exhaustive, however it is an indicator of the key duties and responsibilities that the post holder will have, as opposed to a task list.</w:t>
            </w:r>
          </w:p>
          <w:p>
            <w:pPr>
              <w:pStyle w:val="NoSpacing"/>
              <w:spacing w:lineRule="auto" w:line="240" w:before="0" w:after="0"/>
              <w:rPr>
                <w:rFonts w:ascii="Arial" w:hAnsi="Arial" w:cs="Arial"/>
                <w:i/>
                <w:i/>
              </w:rPr>
            </w:pPr>
            <w:r>
              <w:rPr>
                <w:rFonts w:cs="Arial" w:ascii="Arial" w:hAnsi="Arial"/>
                <w:i/>
              </w:rPr>
            </w:r>
          </w:p>
          <w:p>
            <w:pPr>
              <w:pStyle w:val="NoSpacing"/>
              <w:numPr>
                <w:ilvl w:val="0"/>
                <w:numId w:val="5"/>
              </w:numPr>
              <w:spacing w:lineRule="auto" w:line="240" w:before="0" w:after="0"/>
              <w:ind w:left="437" w:right="0" w:hanging="437"/>
              <w:rPr>
                <w:rFonts w:ascii="Arial" w:hAnsi="Arial" w:cs="Arial"/>
              </w:rPr>
            </w:pPr>
            <w:r>
              <w:rPr>
                <w:rFonts w:cs="Arial" w:ascii="Arial" w:hAnsi="Arial"/>
              </w:rPr>
              <w:t>Be the go-to person for Services for all things asset management related.</w:t>
            </w:r>
          </w:p>
          <w:p>
            <w:pPr>
              <w:pStyle w:val="NoSpacing"/>
              <w:numPr>
                <w:ilvl w:val="0"/>
                <w:numId w:val="6"/>
              </w:numPr>
              <w:spacing w:lineRule="auto" w:line="240" w:before="0" w:after="0"/>
              <w:ind w:left="437" w:right="0" w:hanging="425"/>
              <w:rPr>
                <w:rFonts w:ascii="Arial" w:hAnsi="Arial" w:cs="Arial"/>
              </w:rPr>
            </w:pPr>
            <w:r>
              <w:rPr>
                <w:rFonts w:cs="Arial" w:ascii="Arial" w:hAnsi="Arial"/>
              </w:rPr>
              <w:t>Take the lead in crafting, maintaining, and implementing Service Asset Management Plans for specific directorates.</w:t>
            </w:r>
          </w:p>
          <w:p>
            <w:pPr>
              <w:pStyle w:val="NoSpacing"/>
              <w:numPr>
                <w:ilvl w:val="0"/>
                <w:numId w:val="6"/>
              </w:numPr>
              <w:spacing w:lineRule="auto" w:line="240" w:before="0" w:after="0"/>
              <w:ind w:left="437" w:right="0" w:hanging="425"/>
              <w:rPr>
                <w:rFonts w:ascii="Arial" w:hAnsi="Arial" w:cs="Arial"/>
              </w:rPr>
            </w:pPr>
            <w:r>
              <w:rPr>
                <w:rFonts w:cs="Arial" w:ascii="Arial" w:hAnsi="Arial"/>
              </w:rPr>
              <w:t>Play a key role in shaping the Corporate Asset Management Plan.</w:t>
            </w:r>
          </w:p>
          <w:p>
            <w:pPr>
              <w:pStyle w:val="NoSpacing"/>
              <w:numPr>
                <w:ilvl w:val="0"/>
                <w:numId w:val="6"/>
              </w:numPr>
              <w:spacing w:lineRule="auto" w:line="240" w:before="0" w:after="0"/>
              <w:ind w:left="437" w:right="0" w:hanging="425"/>
              <w:rPr>
                <w:rFonts w:ascii="Arial" w:hAnsi="Arial" w:cs="Arial"/>
              </w:rPr>
            </w:pPr>
            <w:r>
              <w:rPr>
                <w:rFonts w:cs="Arial" w:ascii="Arial" w:hAnsi="Arial"/>
              </w:rPr>
              <w:t>To manage and allocate council services, with a special focus on the responsible directorates.</w:t>
            </w:r>
          </w:p>
          <w:p>
            <w:pPr>
              <w:pStyle w:val="NoSpacing"/>
              <w:numPr>
                <w:ilvl w:val="0"/>
                <w:numId w:val="6"/>
              </w:numPr>
              <w:spacing w:lineRule="auto" w:line="240" w:before="0" w:after="0"/>
              <w:ind w:left="437" w:right="0" w:hanging="425"/>
              <w:rPr>
                <w:rFonts w:ascii="Arial" w:hAnsi="Arial" w:cs="Arial"/>
              </w:rPr>
            </w:pPr>
            <w:r>
              <w:rPr>
                <w:rFonts w:cs="Arial" w:ascii="Arial" w:hAnsi="Arial"/>
              </w:rPr>
              <w:t>Lead the way in overseeing various property projects, including community asset transfers.</w:t>
            </w:r>
          </w:p>
          <w:p>
            <w:pPr>
              <w:pStyle w:val="NoSpacing"/>
              <w:numPr>
                <w:ilvl w:val="0"/>
                <w:numId w:val="6"/>
              </w:numPr>
              <w:spacing w:lineRule="auto" w:line="240" w:before="0" w:after="0"/>
              <w:ind w:left="437" w:right="0" w:hanging="425"/>
              <w:rPr>
                <w:rFonts w:ascii="Arial" w:hAnsi="Arial" w:cs="Arial"/>
              </w:rPr>
            </w:pPr>
            <w:r>
              <w:rPr>
                <w:rFonts w:cs="Arial" w:ascii="Arial" w:hAnsi="Arial"/>
              </w:rPr>
              <w:t>Ensure that buildings are not just utilised but strategically and efficiently utilised, optimising efficiency at all times and aligning them perfectly for their intended purposes in facilitating service delivery.</w:t>
            </w:r>
          </w:p>
          <w:p>
            <w:pPr>
              <w:pStyle w:val="NoSpacing"/>
              <w:numPr>
                <w:ilvl w:val="0"/>
                <w:numId w:val="6"/>
              </w:numPr>
              <w:spacing w:lineRule="auto" w:line="240" w:before="0" w:after="0"/>
              <w:ind w:left="437" w:right="0" w:hanging="425"/>
              <w:rPr>
                <w:rFonts w:ascii="Arial" w:hAnsi="Arial" w:cs="Arial"/>
              </w:rPr>
            </w:pPr>
            <w:r>
              <w:rPr>
                <w:rFonts w:cs="Arial" w:ascii="Arial" w:hAnsi="Arial"/>
              </w:rPr>
              <w:t>Support the council in achieving the best possible service outcomes through effective financial management.</w:t>
            </w:r>
          </w:p>
          <w:p>
            <w:pPr>
              <w:pStyle w:val="NoSpacing"/>
              <w:numPr>
                <w:ilvl w:val="0"/>
                <w:numId w:val="6"/>
              </w:numPr>
              <w:spacing w:lineRule="auto" w:line="240" w:before="0" w:after="0"/>
              <w:ind w:left="437" w:right="0" w:hanging="425"/>
              <w:rPr>
                <w:rFonts w:ascii="Arial" w:hAnsi="Arial" w:cs="Arial"/>
              </w:rPr>
            </w:pPr>
            <w:r>
              <w:rPr>
                <w:rFonts w:cs="Arial" w:ascii="Arial" w:hAnsi="Arial"/>
              </w:rPr>
              <w:t>Collaborate closely with external partner organisations, especially those with shared spaces.</w:t>
            </w:r>
          </w:p>
          <w:p>
            <w:pPr>
              <w:pStyle w:val="NoSpacing"/>
              <w:numPr>
                <w:ilvl w:val="0"/>
                <w:numId w:val="6"/>
              </w:numPr>
              <w:spacing w:lineRule="auto" w:line="240" w:before="0" w:after="0"/>
              <w:ind w:left="437" w:right="0" w:hanging="425"/>
              <w:rPr>
                <w:rFonts w:ascii="Arial" w:hAnsi="Arial" w:cs="Arial"/>
              </w:rPr>
            </w:pPr>
            <w:r>
              <w:rPr>
                <w:rFonts w:cs="Arial" w:ascii="Arial" w:hAnsi="Arial"/>
              </w:rPr>
              <w:t>Handle responses and communications for complex professional and/or politically sensitive issues within your designated area of responsibility.</w:t>
            </w:r>
          </w:p>
          <w:p>
            <w:pPr>
              <w:pStyle w:val="NoSpacing"/>
              <w:numPr>
                <w:ilvl w:val="0"/>
                <w:numId w:val="6"/>
              </w:numPr>
              <w:spacing w:lineRule="auto" w:line="240" w:before="0" w:after="0"/>
              <w:ind w:left="437" w:right="0" w:hanging="425"/>
              <w:rPr>
                <w:rFonts w:ascii="Arial" w:hAnsi="Arial" w:cs="Arial"/>
              </w:rPr>
            </w:pPr>
            <w:r>
              <w:rPr>
                <w:rFonts w:cs="Arial" w:ascii="Arial" w:hAnsi="Arial"/>
              </w:rPr>
              <w:t>Promote a coordinated approach to land and property utilisation and strategy across the responsible departments.</w:t>
            </w:r>
          </w:p>
          <w:p>
            <w:pPr>
              <w:pStyle w:val="NoSpacing"/>
              <w:numPr>
                <w:ilvl w:val="0"/>
                <w:numId w:val="6"/>
              </w:numPr>
              <w:spacing w:lineRule="auto" w:line="240" w:before="0" w:after="0"/>
              <w:ind w:left="437" w:right="0" w:hanging="425"/>
              <w:rPr>
                <w:rFonts w:ascii="Arial" w:hAnsi="Arial" w:cs="Arial"/>
              </w:rPr>
            </w:pPr>
            <w:r>
              <w:rPr>
                <w:rFonts w:cs="Arial" w:ascii="Arial" w:hAnsi="Arial"/>
              </w:rPr>
              <w:t>Develop compelling business cases and grant applications for the council.</w:t>
            </w:r>
          </w:p>
          <w:p>
            <w:pPr>
              <w:pStyle w:val="NoSpacing"/>
              <w:numPr>
                <w:ilvl w:val="0"/>
                <w:numId w:val="6"/>
              </w:numPr>
              <w:spacing w:lineRule="auto" w:line="240" w:before="0" w:after="0"/>
              <w:ind w:left="437" w:right="0" w:hanging="425"/>
              <w:rPr>
                <w:rFonts w:ascii="Arial" w:hAnsi="Arial" w:cs="Arial"/>
              </w:rPr>
            </w:pPr>
            <w:r>
              <w:rPr>
                <w:rFonts w:cs="Arial" w:ascii="Arial" w:hAnsi="Arial"/>
              </w:rPr>
              <w:t>Contribute to promoting and communicating the corporate use of property assets throughout the council.</w:t>
            </w:r>
          </w:p>
          <w:p>
            <w:pPr>
              <w:pStyle w:val="NoSpacing"/>
              <w:numPr>
                <w:ilvl w:val="0"/>
                <w:numId w:val="6"/>
              </w:numPr>
              <w:spacing w:lineRule="auto" w:line="240" w:before="0" w:after="0"/>
              <w:ind w:left="437" w:right="0" w:hanging="425"/>
              <w:rPr>
                <w:rFonts w:ascii="Arial" w:hAnsi="Arial" w:cs="Arial"/>
              </w:rPr>
            </w:pPr>
            <w:r>
              <w:rPr>
                <w:rFonts w:cs="Arial" w:ascii="Arial" w:hAnsi="Arial"/>
              </w:rPr>
              <w:t>Work in partnership with the Head of Strategic Asset Management on reviews of public sector property within the borough.</w:t>
            </w:r>
          </w:p>
          <w:p>
            <w:pPr>
              <w:pStyle w:val="NoSpacing"/>
              <w:numPr>
                <w:ilvl w:val="0"/>
                <w:numId w:val="6"/>
              </w:numPr>
              <w:spacing w:lineRule="auto" w:line="240" w:before="0" w:after="0"/>
              <w:ind w:left="437" w:right="0" w:hanging="425"/>
              <w:rPr>
                <w:rFonts w:ascii="Arial" w:hAnsi="Arial" w:cs="Arial"/>
              </w:rPr>
            </w:pPr>
            <w:r>
              <w:rPr>
                <w:rFonts w:cs="Arial" w:ascii="Arial" w:hAnsi="Arial"/>
              </w:rPr>
              <w:t>Take charge of the development and execution of a pipeline of surplus council assets within the responsible departments.</w:t>
            </w:r>
          </w:p>
          <w:p>
            <w:pPr>
              <w:pStyle w:val="NoSpacing"/>
              <w:numPr>
                <w:ilvl w:val="0"/>
                <w:numId w:val="6"/>
              </w:numPr>
              <w:spacing w:lineRule="auto" w:line="240" w:before="0" w:after="0"/>
              <w:ind w:left="437" w:right="0" w:hanging="425"/>
              <w:rPr>
                <w:rFonts w:ascii="Arial" w:hAnsi="Arial" w:cs="Arial"/>
              </w:rPr>
            </w:pPr>
            <w:r>
              <w:rPr>
                <w:rFonts w:cs="Arial" w:ascii="Arial" w:hAnsi="Arial"/>
              </w:rPr>
              <w:t>Provide expert advice to the responsible departments and wider council colleagues on land and property-related matters.</w:t>
            </w:r>
          </w:p>
          <w:p>
            <w:pPr>
              <w:pStyle w:val="NoSpacing"/>
              <w:numPr>
                <w:ilvl w:val="0"/>
                <w:numId w:val="6"/>
              </w:numPr>
              <w:spacing w:lineRule="auto" w:line="240" w:before="0" w:after="0"/>
              <w:ind w:left="437" w:right="0" w:hanging="425"/>
              <w:rPr>
                <w:rFonts w:ascii="Arial" w:hAnsi="Arial" w:cs="Arial"/>
              </w:rPr>
            </w:pPr>
            <w:r>
              <w:rPr>
                <w:rFonts w:cs="Arial" w:ascii="Arial" w:hAnsi="Arial"/>
              </w:rPr>
              <w:t>Generate relevant documents and reports for Board and Executive committees, legal, finance, and other services as deemed appropriate.</w:t>
            </w:r>
          </w:p>
          <w:p>
            <w:pPr>
              <w:pStyle w:val="NoSpacing"/>
              <w:numPr>
                <w:ilvl w:val="0"/>
                <w:numId w:val="6"/>
              </w:numPr>
              <w:spacing w:lineRule="auto" w:line="240" w:before="0" w:after="0"/>
              <w:ind w:left="437" w:right="0" w:hanging="425"/>
              <w:rPr>
                <w:rFonts w:ascii="Arial" w:hAnsi="Arial" w:cs="Arial"/>
              </w:rPr>
            </w:pPr>
            <w:r>
              <w:rPr>
                <w:rFonts w:cs="Arial" w:ascii="Arial" w:hAnsi="Arial"/>
              </w:rPr>
              <w:t>Attend meetings and conduct site visits/inspections within the borough and occasionally across Manchester and the region as needed.</w:t>
            </w:r>
          </w:p>
          <w:p>
            <w:pPr>
              <w:pStyle w:val="NoSpacing"/>
              <w:numPr>
                <w:ilvl w:val="0"/>
                <w:numId w:val="6"/>
              </w:numPr>
              <w:spacing w:lineRule="auto" w:line="240" w:before="0" w:after="0"/>
              <w:ind w:left="437" w:right="0" w:hanging="425"/>
              <w:rPr>
                <w:rFonts w:ascii="Arial" w:hAnsi="Arial" w:cs="Arial"/>
              </w:rPr>
            </w:pPr>
            <w:r>
              <w:rPr>
                <w:rFonts w:cs="Arial" w:ascii="Arial" w:hAnsi="Arial"/>
              </w:rPr>
              <w:t>Offer valuable support and act as a deputy for the Head of Strategic Asset Management in delivering the function of the Strategic Asset Management service.</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rFonts w:eastAsia="Calibri"/>
                <w:bCs/>
              </w:rPr>
            </w:pPr>
            <w:r>
              <w:rPr>
                <w:rFonts w:eastAsia="Calibri"/>
                <w:bCs/>
              </w:rPr>
              <w:t>Level 4 Qualification.</w:t>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Spacing"/>
              <w:numPr>
                <w:ilvl w:val="0"/>
                <w:numId w:val="3"/>
              </w:numPr>
              <w:spacing w:lineRule="auto" w:line="240" w:before="0" w:after="0"/>
              <w:rPr>
                <w:rFonts w:ascii="Arial" w:hAnsi="Arial" w:cs="Arial"/>
                <w:bCs/>
              </w:rPr>
            </w:pPr>
            <w:r>
              <w:rPr>
                <w:rFonts w:cs="Arial" w:ascii="Arial" w:hAnsi="Arial"/>
                <w:bCs/>
              </w:rPr>
              <w:t xml:space="preserve">Significant experience in a strategic asset management role. </w:t>
            </w:r>
          </w:p>
          <w:p>
            <w:pPr>
              <w:pStyle w:val="NoSpacing"/>
              <w:numPr>
                <w:ilvl w:val="0"/>
                <w:numId w:val="3"/>
              </w:numPr>
              <w:spacing w:lineRule="auto" w:line="240" w:before="0" w:after="0"/>
              <w:rPr>
                <w:rFonts w:ascii="Arial" w:hAnsi="Arial" w:cs="Arial"/>
                <w:bCs/>
              </w:rPr>
            </w:pPr>
            <w:r>
              <w:rPr>
                <w:rFonts w:cs="Arial" w:ascii="Arial" w:hAnsi="Arial"/>
                <w:bCs/>
              </w:rPr>
              <w:t>Ability to self-motivate and prioritise their own and team member’s workloads to achieve results.</w:t>
            </w:r>
          </w:p>
          <w:p>
            <w:pPr>
              <w:pStyle w:val="NoSpacing"/>
              <w:numPr>
                <w:ilvl w:val="0"/>
                <w:numId w:val="3"/>
              </w:numPr>
              <w:spacing w:lineRule="auto" w:line="240" w:before="0" w:after="0"/>
              <w:rPr>
                <w:rFonts w:ascii="Arial" w:hAnsi="Arial" w:cs="Arial"/>
                <w:bCs/>
              </w:rPr>
            </w:pPr>
            <w:r>
              <w:rPr>
                <w:rFonts w:cs="Arial" w:ascii="Arial" w:hAnsi="Arial"/>
                <w:bCs/>
              </w:rPr>
              <w:t>Track record of implementing asset strategy and overseeing property-related initiatives in the public sector.</w:t>
            </w:r>
          </w:p>
          <w:p>
            <w:pPr>
              <w:pStyle w:val="NoSpacing"/>
              <w:numPr>
                <w:ilvl w:val="0"/>
                <w:numId w:val="3"/>
              </w:numPr>
              <w:spacing w:lineRule="auto" w:line="240" w:before="0" w:after="0"/>
              <w:rPr>
                <w:rFonts w:ascii="Arial" w:hAnsi="Arial" w:cs="Arial"/>
                <w:bCs/>
              </w:rPr>
            </w:pPr>
            <w:r>
              <w:rPr>
                <w:rFonts w:cs="Arial" w:ascii="Arial" w:hAnsi="Arial"/>
                <w:bCs/>
              </w:rPr>
              <w:t>Demonstrable experience in addressing strategic property matters that cut across service boundaries.</w:t>
            </w:r>
          </w:p>
          <w:p>
            <w:pPr>
              <w:pStyle w:val="NoSpacing"/>
              <w:numPr>
                <w:ilvl w:val="0"/>
                <w:numId w:val="3"/>
              </w:numPr>
              <w:spacing w:lineRule="auto" w:line="240" w:before="0" w:after="0"/>
              <w:rPr>
                <w:rFonts w:ascii="Arial" w:hAnsi="Arial" w:cs="Arial"/>
                <w:bCs/>
              </w:rPr>
            </w:pPr>
            <w:r>
              <w:rPr>
                <w:rFonts w:cs="Arial" w:ascii="Arial" w:hAnsi="Arial"/>
                <w:bCs/>
              </w:rPr>
              <w:t>Experience of navigating a politically led environment and engaging positively with politicians.</w:t>
            </w:r>
          </w:p>
          <w:p>
            <w:pPr>
              <w:pStyle w:val="NoSpacing"/>
              <w:numPr>
                <w:ilvl w:val="0"/>
                <w:numId w:val="3"/>
              </w:numPr>
              <w:spacing w:lineRule="auto" w:line="240" w:before="0" w:after="0"/>
              <w:rPr>
                <w:rFonts w:ascii="Arial" w:hAnsi="Arial" w:cs="Arial"/>
                <w:bCs/>
              </w:rPr>
            </w:pPr>
            <w:r>
              <w:rPr>
                <w:rFonts w:cs="Arial" w:ascii="Arial" w:hAnsi="Arial"/>
                <w:bCs/>
              </w:rPr>
              <w:t>Demonstrable understanding of the roles of councillors and other political figures.</w:t>
            </w:r>
          </w:p>
          <w:p>
            <w:pPr>
              <w:pStyle w:val="NoSpacing"/>
              <w:numPr>
                <w:ilvl w:val="0"/>
                <w:numId w:val="3"/>
              </w:numPr>
              <w:spacing w:lineRule="auto" w:line="240" w:before="0" w:after="0"/>
              <w:rPr>
                <w:rFonts w:ascii="Arial" w:hAnsi="Arial" w:cs="Arial"/>
                <w:bCs/>
              </w:rPr>
            </w:pPr>
            <w:r>
              <w:rPr>
                <w:rFonts w:cs="Arial" w:ascii="Arial" w:hAnsi="Arial"/>
                <w:bCs/>
              </w:rPr>
              <w:t>Ability to manage positive and effective relationships with senior leaders and politicians.</w:t>
            </w:r>
          </w:p>
          <w:p>
            <w:pPr>
              <w:pStyle w:val="NoSpacing"/>
              <w:numPr>
                <w:ilvl w:val="0"/>
                <w:numId w:val="3"/>
              </w:numPr>
              <w:spacing w:lineRule="auto" w:line="240" w:before="0" w:after="0"/>
              <w:rPr>
                <w:rFonts w:ascii="Arial" w:hAnsi="Arial" w:cs="Arial"/>
                <w:bCs/>
              </w:rPr>
            </w:pPr>
            <w:r>
              <w:rPr>
                <w:rFonts w:cs="Arial" w:ascii="Arial" w:hAnsi="Arial"/>
                <w:bCs/>
              </w:rPr>
              <w:t>Experience of managing asset management projects within a corporate or public service environment.</w:t>
            </w:r>
          </w:p>
          <w:p>
            <w:pPr>
              <w:pStyle w:val="NoSpacing"/>
              <w:numPr>
                <w:ilvl w:val="0"/>
                <w:numId w:val="3"/>
              </w:numPr>
              <w:spacing w:lineRule="auto" w:line="240" w:before="0" w:after="0"/>
              <w:rPr>
                <w:rFonts w:ascii="Arial" w:hAnsi="Arial" w:cs="Arial"/>
                <w:bCs/>
              </w:rPr>
            </w:pPr>
            <w:r>
              <w:rPr>
                <w:rFonts w:cs="Arial" w:ascii="Arial" w:hAnsi="Arial"/>
                <w:bCs/>
              </w:rPr>
              <w:t>Experience of developing asset strategy and an understanding of strategic asset management practice and methodology.</w:t>
            </w:r>
          </w:p>
          <w:p>
            <w:pPr>
              <w:pStyle w:val="NoSpacing"/>
              <w:numPr>
                <w:ilvl w:val="0"/>
                <w:numId w:val="3"/>
              </w:numPr>
              <w:spacing w:lineRule="auto" w:line="240" w:before="0" w:after="0"/>
              <w:rPr>
                <w:rFonts w:ascii="Arial" w:hAnsi="Arial" w:cs="Arial"/>
                <w:bCs/>
              </w:rPr>
            </w:pPr>
            <w:r>
              <w:rPr>
                <w:rFonts w:cs="Arial" w:ascii="Arial" w:hAnsi="Arial"/>
                <w:bCs/>
              </w:rPr>
              <w:t>Strong planning, report writing, presentation, organisation and coordination skills.</w:t>
            </w:r>
          </w:p>
          <w:p>
            <w:pPr>
              <w:pStyle w:val="NoSpacing"/>
              <w:numPr>
                <w:ilvl w:val="0"/>
                <w:numId w:val="3"/>
              </w:numPr>
              <w:spacing w:lineRule="auto" w:line="240" w:before="0" w:after="0"/>
              <w:rPr>
                <w:rFonts w:ascii="Arial" w:hAnsi="Arial" w:cs="Arial"/>
                <w:bCs/>
              </w:rPr>
            </w:pPr>
            <w:r>
              <w:rPr>
                <w:rFonts w:cs="Arial" w:ascii="Arial" w:hAnsi="Arial"/>
                <w:bCs/>
              </w:rPr>
              <w:t>Experience of instructing legal teams and/or other professional colleagues.</w:t>
            </w:r>
          </w:p>
          <w:p>
            <w:pPr>
              <w:pStyle w:val="NoSpacing"/>
              <w:numPr>
                <w:ilvl w:val="0"/>
                <w:numId w:val="3"/>
              </w:numPr>
              <w:spacing w:lineRule="auto" w:line="240" w:before="0" w:after="0"/>
              <w:rPr>
                <w:rFonts w:ascii="Arial" w:hAnsi="Arial" w:cs="Arial"/>
                <w:bCs/>
              </w:rPr>
            </w:pPr>
            <w:r>
              <w:rPr>
                <w:rFonts w:cs="Arial" w:ascii="Arial" w:hAnsi="Arial"/>
                <w:bCs/>
              </w:rPr>
              <w:t>Experience of collaborating with multi-disciplinary professionals including Facilities Management, building surveyors, agents and solicitors.</w:t>
            </w:r>
          </w:p>
          <w:p>
            <w:pPr>
              <w:pStyle w:val="NoSpacing"/>
              <w:numPr>
                <w:ilvl w:val="0"/>
                <w:numId w:val="3"/>
              </w:numPr>
              <w:spacing w:lineRule="auto" w:line="240" w:before="0" w:after="0"/>
              <w:rPr>
                <w:rFonts w:ascii="Arial" w:hAnsi="Arial" w:cs="Arial"/>
                <w:bCs/>
              </w:rPr>
            </w:pPr>
            <w:r>
              <w:rPr>
                <w:rFonts w:cs="Arial" w:ascii="Arial" w:hAnsi="Arial"/>
                <w:bCs/>
              </w:rPr>
              <w:t>Excellent analytical, interpretation and problem-solving capabilities.</w:t>
            </w:r>
          </w:p>
          <w:p>
            <w:pPr>
              <w:pStyle w:val="NoSpacing"/>
              <w:numPr>
                <w:ilvl w:val="0"/>
                <w:numId w:val="3"/>
              </w:numPr>
              <w:spacing w:lineRule="auto" w:line="240" w:before="0" w:after="0"/>
              <w:rPr>
                <w:rFonts w:ascii="Arial" w:hAnsi="Arial" w:cs="Arial"/>
                <w:bCs/>
              </w:rPr>
            </w:pPr>
            <w:r>
              <w:rPr>
                <w:rFonts w:cs="Arial" w:ascii="Arial" w:hAnsi="Arial"/>
                <w:bCs/>
              </w:rPr>
              <w:t>A detailed understanding of wider property related matters, including facilities management, landlord &amp; tenant issues and property management.</w:t>
            </w:r>
          </w:p>
          <w:p>
            <w:pPr>
              <w:pStyle w:val="NoSpacing"/>
              <w:numPr>
                <w:ilvl w:val="0"/>
                <w:numId w:val="3"/>
              </w:numPr>
              <w:spacing w:lineRule="auto" w:line="240" w:before="0" w:after="0"/>
              <w:rPr>
                <w:rFonts w:ascii="Arial" w:hAnsi="Arial" w:cs="Arial"/>
                <w:bCs/>
              </w:rPr>
            </w:pPr>
            <w:r>
              <w:rPr>
                <w:rFonts w:cs="Arial" w:ascii="Arial" w:hAnsi="Arial"/>
                <w:bCs/>
              </w:rPr>
              <w:t>Effective communication skills both in-person and remote settings.</w:t>
            </w:r>
          </w:p>
          <w:p>
            <w:pPr>
              <w:pStyle w:val="NoSpacing"/>
              <w:numPr>
                <w:ilvl w:val="0"/>
                <w:numId w:val="3"/>
              </w:numPr>
              <w:spacing w:lineRule="auto" w:line="240" w:before="0" w:after="0"/>
              <w:rPr>
                <w:rFonts w:ascii="Arial" w:hAnsi="Arial" w:cs="Arial"/>
                <w:bCs/>
              </w:rPr>
            </w:pPr>
            <w:r>
              <w:rPr>
                <w:rFonts w:cs="Arial" w:ascii="Arial" w:hAnsi="Arial"/>
                <w:bCs/>
              </w:rPr>
              <w:t>Experience on addressing and resolving complex problems, complaints, investigations and other cases.</w:t>
            </w:r>
          </w:p>
          <w:p>
            <w:pPr>
              <w:pStyle w:val="NoSpacing"/>
              <w:numPr>
                <w:ilvl w:val="0"/>
                <w:numId w:val="3"/>
              </w:numPr>
              <w:spacing w:lineRule="auto" w:line="240" w:before="0" w:after="0"/>
              <w:rPr>
                <w:rFonts w:ascii="Arial" w:hAnsi="Arial" w:cs="Arial"/>
                <w:bCs/>
              </w:rPr>
            </w:pPr>
            <w:r>
              <w:rPr>
                <w:rFonts w:cs="Arial" w:ascii="Arial" w:hAnsi="Arial"/>
                <w:bCs/>
              </w:rPr>
              <w:t>Ability to build personal credibility with colleagues and partners while maintaining high professional standards.</w:t>
            </w:r>
          </w:p>
          <w:p>
            <w:pPr>
              <w:pStyle w:val="NoSpacing"/>
              <w:numPr>
                <w:ilvl w:val="0"/>
                <w:numId w:val="3"/>
              </w:numPr>
              <w:spacing w:lineRule="auto" w:line="240" w:before="0" w:after="0"/>
              <w:rPr>
                <w:rFonts w:ascii="Arial" w:hAnsi="Arial" w:cs="Arial"/>
                <w:bCs/>
              </w:rPr>
            </w:pPr>
            <w:r>
              <w:rPr>
                <w:rFonts w:cs="Arial" w:ascii="Arial" w:hAnsi="Arial"/>
                <w:bCs/>
              </w:rPr>
              <w:t>Ability to think innovatively in high pressure environment.</w:t>
            </w:r>
          </w:p>
          <w:p>
            <w:pPr>
              <w:pStyle w:val="NoSpacing"/>
              <w:numPr>
                <w:ilvl w:val="0"/>
                <w:numId w:val="3"/>
              </w:numPr>
              <w:spacing w:lineRule="auto" w:line="240" w:before="0" w:after="0"/>
              <w:rPr>
                <w:rFonts w:ascii="Arial" w:hAnsi="Arial" w:cs="Arial"/>
                <w:bCs/>
              </w:rPr>
            </w:pPr>
            <w:r>
              <w:rPr>
                <w:rFonts w:cs="Arial" w:ascii="Arial" w:hAnsi="Arial"/>
                <w:bCs/>
              </w:rPr>
              <w:t>Good It skills, including common software packages such as Microsoft Office, Teams, CAFM and Terrier systems.</w:t>
            </w:r>
          </w:p>
          <w:p>
            <w:pPr>
              <w:pStyle w:val="NoSpacing"/>
              <w:numPr>
                <w:ilvl w:val="0"/>
                <w:numId w:val="3"/>
              </w:numPr>
              <w:spacing w:lineRule="auto" w:line="240" w:before="0" w:after="0"/>
              <w:rPr>
                <w:rFonts w:ascii="Arial" w:hAnsi="Arial" w:cs="Arial"/>
                <w:bCs/>
              </w:rPr>
            </w:pPr>
            <w:r>
              <w:rPr>
                <w:rFonts w:cs="Arial" w:ascii="Arial" w:hAnsi="Arial"/>
                <w:bCs/>
              </w:rPr>
              <w:t>Ability to travel around the borough, sometimes at short notice</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4"/>
              </w:numPr>
              <w:spacing w:lineRule="auto" w:line="240" w:before="0" w:after="0"/>
              <w:contextualSpacing/>
              <w:rPr/>
            </w:pPr>
            <w:r>
              <w:rPr/>
              <w:t>RICS Surveying qualification</w:t>
            </w:r>
          </w:p>
          <w:p>
            <w:pPr>
              <w:pStyle w:val="ListParagraph"/>
              <w:numPr>
                <w:ilvl w:val="0"/>
                <w:numId w:val="4"/>
              </w:numPr>
              <w:spacing w:lineRule="auto" w:line="240" w:before="0" w:after="0"/>
              <w:contextualSpacing/>
              <w:rPr/>
            </w:pPr>
            <w:r>
              <w:rPr/>
              <w:t>Member of RICS</w:t>
            </w:r>
          </w:p>
          <w:p>
            <w:pPr>
              <w:pStyle w:val="ListParagraph"/>
              <w:numPr>
                <w:ilvl w:val="0"/>
                <w:numId w:val="4"/>
              </w:numPr>
              <w:spacing w:lineRule="auto" w:line="240" w:before="0" w:after="0"/>
              <w:contextualSpacing/>
              <w:rPr/>
            </w:pPr>
            <w:r>
              <w:rPr/>
              <w:t>Experience of working with other public sector partners on strategic asset management related matters and/or One Public Estate.</w:t>
            </w:r>
          </w:p>
          <w:p>
            <w:pPr>
              <w:pStyle w:val="ListParagraph"/>
              <w:numPr>
                <w:ilvl w:val="0"/>
                <w:numId w:val="4"/>
              </w:numPr>
              <w:spacing w:lineRule="auto" w:line="240" w:before="0" w:after="0"/>
              <w:contextualSpacing/>
              <w:rPr/>
            </w:pPr>
            <w:r>
              <w:rPr/>
              <w:t>Experience of working in or with the NHS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32" w:hanging="360"/>
      </w:pPr>
      <w:rPr>
        <w:rFonts w:ascii="Symbol" w:hAnsi="Symbol" w:cs="Symbol" w:hint="default"/>
        <w:rFonts w:cs="Symbol"/>
      </w:rPr>
    </w:lvl>
    <w:lvl w:ilvl="1">
      <w:start w:val="1"/>
      <w:numFmt w:val="bullet"/>
      <w:lvlText w:val="o"/>
      <w:lvlJc w:val="left"/>
      <w:pPr>
        <w:ind w:left="1452" w:hanging="360"/>
      </w:pPr>
      <w:rPr>
        <w:rFonts w:ascii="Courier New" w:hAnsi="Courier New" w:cs="Courier New" w:hint="default"/>
        <w:rFonts w:cs="Courier New"/>
      </w:rPr>
    </w:lvl>
    <w:lvl w:ilvl="2">
      <w:start w:val="1"/>
      <w:numFmt w:val="bullet"/>
      <w:lvlText w:val=""/>
      <w:lvlJc w:val="left"/>
      <w:pPr>
        <w:ind w:left="2172" w:hanging="360"/>
      </w:pPr>
      <w:rPr>
        <w:rFonts w:ascii="Wingdings" w:hAnsi="Wingdings" w:cs="Wingdings" w:hint="default"/>
        <w:rFonts w:cs="Wingdings"/>
      </w:rPr>
    </w:lvl>
    <w:lvl w:ilvl="3">
      <w:start w:val="1"/>
      <w:numFmt w:val="bullet"/>
      <w:lvlText w:val=""/>
      <w:lvlJc w:val="left"/>
      <w:pPr>
        <w:ind w:left="2892" w:hanging="360"/>
      </w:pPr>
      <w:rPr>
        <w:rFonts w:ascii="Symbol" w:hAnsi="Symbol" w:cs="Symbol" w:hint="default"/>
        <w:rFonts w:cs="Symbol"/>
      </w:rPr>
    </w:lvl>
    <w:lvl w:ilvl="4">
      <w:start w:val="1"/>
      <w:numFmt w:val="bullet"/>
      <w:lvlText w:val="o"/>
      <w:lvlJc w:val="left"/>
      <w:pPr>
        <w:ind w:left="3612" w:hanging="360"/>
      </w:pPr>
      <w:rPr>
        <w:rFonts w:ascii="Courier New" w:hAnsi="Courier New" w:cs="Courier New" w:hint="default"/>
        <w:rFonts w:cs="Courier New"/>
      </w:rPr>
    </w:lvl>
    <w:lvl w:ilvl="5">
      <w:start w:val="1"/>
      <w:numFmt w:val="bullet"/>
      <w:lvlText w:val=""/>
      <w:lvlJc w:val="left"/>
      <w:pPr>
        <w:ind w:left="4332" w:hanging="360"/>
      </w:pPr>
      <w:rPr>
        <w:rFonts w:ascii="Wingdings" w:hAnsi="Wingdings" w:cs="Wingdings" w:hint="default"/>
        <w:rFonts w:cs="Wingdings"/>
      </w:rPr>
    </w:lvl>
    <w:lvl w:ilvl="6">
      <w:start w:val="1"/>
      <w:numFmt w:val="bullet"/>
      <w:lvlText w:val=""/>
      <w:lvlJc w:val="left"/>
      <w:pPr>
        <w:ind w:left="5052" w:hanging="360"/>
      </w:pPr>
      <w:rPr>
        <w:rFonts w:ascii="Symbol" w:hAnsi="Symbol" w:cs="Symbol" w:hint="default"/>
        <w:rFonts w:cs="Symbol"/>
      </w:rPr>
    </w:lvl>
    <w:lvl w:ilvl="7">
      <w:start w:val="1"/>
      <w:numFmt w:val="bullet"/>
      <w:lvlText w:val="o"/>
      <w:lvlJc w:val="left"/>
      <w:pPr>
        <w:ind w:left="5772" w:hanging="360"/>
      </w:pPr>
      <w:rPr>
        <w:rFonts w:ascii="Courier New" w:hAnsi="Courier New" w:cs="Courier New" w:hint="default"/>
        <w:rFonts w:cs="Courier New"/>
      </w:rPr>
    </w:lvl>
    <w:lvl w:ilvl="8">
      <w:start w:val="1"/>
      <w:numFmt w:val="bullet"/>
      <w:lvlText w:val=""/>
      <w:lvlJc w:val="left"/>
      <w:pPr>
        <w:ind w:left="6492"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2024-10-02T15:27:00Z</dcterms:created>
  <dc:creator>Bernadette Wilde</dc:creator>
  <dc:description/>
  <dc:language>en-US</dc:language>
  <cp:lastModifiedBy>Neil Charlesworth</cp:lastModifiedBy>
  <cp:lastPrinted>1995-11-21T17:41:00Z</cp:lastPrinted>
  <dcterms:modified xsi:type="dcterms:W3CDTF">2026-02-05T14:13:00Z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