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ListParagraph"/>
        <w:spacing w:lineRule="auto" w:line="240" w:before="0" w:after="0"/>
        <w:ind w:left="7920" w:right="0"/>
        <w:contextualSpacing/>
        <w:jc w:val="both"/>
        <w:rPr>
          <w:rFonts w:ascii="Calibri" w:hAnsi="Calibri" w:eastAsia="Calibri" w:cs="Calibri"/>
          <w:b/>
          <w:bCs/>
        </w:rPr>
      </w:pPr>
      <w:r>
        <w:rPr>
          <w:rFonts w:eastAsia="Calibri" w:cs="Calibri" w:ascii="Calibri" w:hAnsi="Calibri"/>
          <w:b/>
          <w:bCs/>
        </w:rPr>
        <w:t xml:space="preserve">  </w:t>
      </w:r>
    </w:p>
    <w:p>
      <w:pPr>
        <w:pStyle w:val="Normal"/>
        <w:jc w:val="both"/>
        <w:rPr>
          <w:rFonts w:ascii="Calibri" w:hAnsi="Calibri" w:cs="Calibri"/>
          <w:b/>
          <w:bCs/>
          <w:sz w:val="22"/>
          <w:szCs w:val="22"/>
        </w:rPr>
      </w:pPr>
      <w:r>
        <w:drawing>
          <wp:anchor behindDoc="1" distT="0" distB="0" distL="114300" distR="114300" simplePos="0" locked="0" layoutInCell="0" allowOverlap="1" relativeHeight="3">
            <wp:simplePos x="0" y="0"/>
            <wp:positionH relativeFrom="margin">
              <wp:posOffset>-438150</wp:posOffset>
            </wp:positionH>
            <wp:positionV relativeFrom="margin">
              <wp:posOffset>480060</wp:posOffset>
            </wp:positionV>
            <wp:extent cx="7117080" cy="6470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3374" t="84926" r="25679" b="6777"/>
                    <a:stretch>
                      <a:fillRect/>
                    </a:stretch>
                  </pic:blipFill>
                  <pic:spPr bwMode="auto">
                    <a:xfrm>
                      <a:off x="0" y="0"/>
                      <a:ext cx="7117080" cy="647065"/>
                    </a:xfrm>
                    <a:prstGeom prst="rect">
                      <a:avLst/>
                    </a:prstGeom>
                  </pic:spPr>
                </pic:pic>
              </a:graphicData>
            </a:graphic>
          </wp:anchor>
        </w:drawing>
      </w:r>
      <w:r>
        <w:rPr>
          <w:rFonts w:cs="Calibri" w:ascii="Calibri" w:hAnsi="Calibri"/>
          <w:b/>
          <w:bCs/>
          <w:sz w:val="22"/>
          <w:szCs w:val="22"/>
        </w:rPr>
        <w:t>Job Description and Person Specification Profile Template</w:t>
      </w:r>
    </w:p>
    <w:p>
      <w:pPr>
        <w:pStyle w:val="Normal"/>
        <w:jc w:val="both"/>
        <w:rPr>
          <w:rFonts w:ascii="Calibri" w:hAnsi="Calibri" w:cs="Calibri"/>
          <w:b/>
          <w:bCs/>
          <w:sz w:val="22"/>
          <w:szCs w:val="22"/>
        </w:rPr>
      </w:pPr>
      <w:r>
        <w:rPr>
          <w:rFonts w:cs="Calibri" w:ascii="Calibri" w:hAnsi="Calibri"/>
          <w:b/>
          <w:bCs/>
          <w:sz w:val="22"/>
          <w:szCs w:val="22"/>
        </w:rPr>
      </w:r>
    </w:p>
    <w:p>
      <w:pPr>
        <w:pStyle w:val="Normal"/>
        <w:spacing w:lineRule="auto" w:line="276"/>
        <w:rPr>
          <w:rFonts w:ascii="Calibri" w:hAnsi="Calibri" w:eastAsia="" w:cs="Calibri"/>
          <w:b/>
          <w:bCs/>
          <w:sz w:val="22"/>
          <w:szCs w:val="22"/>
        </w:rPr>
      </w:pPr>
      <w:r>
        <w:rPr>
          <w:rFonts w:eastAsia="" w:cs="Calibri" w:ascii="Calibri" w:hAnsi="Calibri"/>
          <w:b/>
          <w:bCs/>
          <w:sz w:val="22"/>
          <w:szCs w:val="22"/>
        </w:rPr>
        <mc:AlternateContent>
          <mc:Choice Requires="wps">
            <w:drawing>
              <wp:anchor behindDoc="0" distT="0" distB="0" distL="114935" distR="114935" simplePos="0" locked="0" layoutInCell="1" allowOverlap="1" relativeHeight="6">
                <wp:simplePos x="0" y="0"/>
                <wp:positionH relativeFrom="column">
                  <wp:posOffset>3175</wp:posOffset>
                </wp:positionH>
                <wp:positionV relativeFrom="paragraph">
                  <wp:posOffset>11430</wp:posOffset>
                </wp:positionV>
                <wp:extent cx="6028055" cy="3047365"/>
                <wp:effectExtent l="19050" t="19050" r="19050" b="19050"/>
                <wp:wrapNone/>
                <wp:docPr id="2" name=""/>
                <a:graphic xmlns:a="http://schemas.openxmlformats.org/drawingml/2006/main">
                  <a:graphicData uri="http://schemas.microsoft.com/office/word/2010/wordprocessingShape">
                    <wps:wsp>
                      <wps:cNvSpPr txBox="1"/>
                      <wps:spPr>
                        <a:xfrm>
                          <a:off x="0" y="0"/>
                          <a:ext cx="6028200" cy="304740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ffffcc" stroked="t" o:allowincell="f" style="position:absolute;margin-left:0.25pt;margin-top:0.9pt;width:474.6pt;height:239.9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0033" opacity="0.59"/>
                <v:stroke color="#ffff99" weight="38160" joinstyle="round" endcap="round"/>
                <w10:wrap type="none"/>
              </v:shape>
            </w:pict>
          </mc:Fallback>
        </mc:AlternateContent>
      </w:r>
      <w:r>
        <mc:AlternateContent>
          <mc:Choice Requires="wps">
            <w:drawing>
              <wp:anchor behindDoc="0" distT="72390" distB="72390" distL="19050" distR="10795" simplePos="0" locked="0" layoutInCell="1" allowOverlap="1" relativeHeight="14">
                <wp:simplePos x="0" y="0"/>
                <wp:positionH relativeFrom="column">
                  <wp:posOffset>3175</wp:posOffset>
                </wp:positionH>
                <wp:positionV relativeFrom="paragraph">
                  <wp:posOffset>11430</wp:posOffset>
                </wp:positionV>
                <wp:extent cx="6028055" cy="3047365"/>
                <wp:effectExtent l="0" t="0" r="0" b="0"/>
                <wp:wrapNone/>
                <wp:docPr id="3" name="Frame1"/>
                <a:graphic xmlns:a="http://schemas.openxmlformats.org/drawingml/2006/main">
                  <a:graphicData uri="http://schemas.microsoft.com/office/word/2010/wordprocessingShape">
                    <wps:wsp>
                      <wps:cNvSpPr txBox="1"/>
                      <wps:spPr>
                        <a:xfrm>
                          <a:off x="0" y="0"/>
                          <a:ext cx="6028055" cy="3047365"/>
                        </a:xfrm>
                        <a:prstGeom prst="rect"/>
                        <a:solidFill>
                          <a:srgbClr val="FFFFFF"/>
                        </a:solidFill>
                      </wps:spPr>
                      <wps:txbx>
                        <w:txbxContent>
                          <w:p>
                            <w:pPr>
                              <w:pStyle w:val="NoSpacing"/>
                              <w:ind w:left="142" w:right="0"/>
                              <w:jc w:val="center"/>
                              <w:rPr>
                                <w:rFonts w:ascii="Arial" w:hAnsi="Arial" w:cs="Arial"/>
                                <w:b/>
                              </w:rPr>
                            </w:pPr>
                            <w:r>
                              <w:rPr>
                                <w:rFonts w:cs="Arial" w:ascii="Arial" w:hAnsi="Arial"/>
                                <w:b/>
                              </w:rPr>
                              <w:t>Job Title</w:t>
                            </w:r>
                          </w:p>
                          <w:tbl>
                            <w:tblPr>
                              <w:tblW w:w="9144" w:type="dxa"/>
                              <w:jc w:val="left"/>
                              <w:tblInd w:w="108" w:type="dxa"/>
                              <w:tblLayout w:type="fixed"/>
                              <w:tblCellMar>
                                <w:top w:w="0" w:type="dxa"/>
                                <w:left w:w="108" w:type="dxa"/>
                                <w:bottom w:w="0" w:type="dxa"/>
                                <w:right w:w="108" w:type="dxa"/>
                              </w:tblCellMar>
                            </w:tblPr>
                            <w:tblGrid>
                              <w:gridCol w:w="3968"/>
                              <w:gridCol w:w="5176"/>
                            </w:tblGrid>
                            <w:tr>
                              <w:trPr>
                                <w:trHeight w:val="272" w:hRule="atLeast"/>
                              </w:trPr>
                              <w:tc>
                                <w:tcPr>
                                  <w:tcW w:w="3968" w:type="dxa"/>
                                  <w:tcBorders/>
                                  <w:vAlign w:val="center"/>
                                </w:tcPr>
                                <w:p>
                                  <w:pPr>
                                    <w:pStyle w:val="NoSpacing"/>
                                    <w:spacing w:lineRule="auto" w:line="240" w:before="0" w:after="0"/>
                                    <w:ind w:left="142" w:right="0"/>
                                    <w:rPr>
                                      <w:rFonts w:ascii="Arial" w:hAnsi="Arial" w:cs="Arial"/>
                                      <w:b/>
                                    </w:rPr>
                                  </w:pPr>
                                  <w:r>
                                    <w:rPr>
                                      <w:rFonts w:cs="Arial" w:ascii="Arial" w:hAnsi="Arial"/>
                                      <w:b/>
                                    </w:rPr>
                                    <w:t xml:space="preserve">Team: SEND Service                                                   </w:t>
                                  </w:r>
                                </w:p>
                              </w:tc>
                              <w:tc>
                                <w:tcPr>
                                  <w:tcW w:w="5176" w:type="dxa"/>
                                  <w:tcBorders/>
                                </w:tcPr>
                                <w:p>
                                  <w:pPr>
                                    <w:pStyle w:val="NoSpacing"/>
                                    <w:spacing w:lineRule="auto" w:line="240" w:before="0" w:after="0"/>
                                    <w:ind w:left="142" w:right="0"/>
                                    <w:jc w:val="center"/>
                                    <w:rPr>
                                      <w:rFonts w:ascii="Arial" w:hAnsi="Arial" w:cs="Arial"/>
                                      <w:b/>
                                    </w:rPr>
                                  </w:pPr>
                                  <w:r>
                                    <w:rPr>
                                      <w:rFonts w:cs="Arial" w:ascii="Arial" w:hAnsi="Arial"/>
                                      <w:b/>
                                    </w:rPr>
                                    <w:t xml:space="preserve">Deputy Head of SEND EaH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Service: Children’s Services </w:t>
                                  </w:r>
                                </w:p>
                              </w:tc>
                              <w:tc>
                                <w:tcPr>
                                  <w:tcW w:w="5176" w:type="dxa"/>
                                  <w:tcBorders/>
                                </w:tcPr>
                                <w:p>
                                  <w:pPr>
                                    <w:pStyle w:val="NoSpacing"/>
                                    <w:snapToGrid w:val="false"/>
                                    <w:spacing w:lineRule="auto" w:line="240" w:before="0" w:after="0"/>
                                    <w:ind w:left="142" w:right="0"/>
                                    <w:rPr>
                                      <w:rFonts w:ascii="Arial" w:hAnsi="Arial" w:cs="Arial"/>
                                    </w:rPr>
                                  </w:pPr>
                                  <w:r>
                                    <w:rPr>
                                      <w:rFonts w:cs="Arial" w:ascii="Arial" w:hAnsi="Arial"/>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Salary &amp; Grade/Band/Pay Range:</w:t>
                                  </w:r>
                                </w:p>
                                <w:p>
                                  <w:pPr>
                                    <w:pStyle w:val="NoSpacing"/>
                                    <w:spacing w:lineRule="auto" w:line="240" w:before="0" w:after="0"/>
                                    <w:ind w:left="142" w:right="0"/>
                                    <w:rPr>
                                      <w:rFonts w:ascii="Arial" w:hAnsi="Arial" w:cs="Arial"/>
                                      <w:b/>
                                    </w:rPr>
                                  </w:pPr>
                                  <w:r>
                                    <w:rPr>
                                      <w:rFonts w:cs="Arial" w:ascii="Arial" w:hAnsi="Arial"/>
                                      <w:b/>
                                    </w:rPr>
                                    <w:t>Job ID:</w:t>
                                  </w:r>
                                </w:p>
                                <w:p>
                                  <w:pPr>
                                    <w:pStyle w:val="NoSpacing"/>
                                    <w:spacing w:lineRule="auto" w:line="240" w:before="0" w:after="0"/>
                                    <w:ind w:left="142" w:right="0"/>
                                    <w:rPr>
                                      <w:rFonts w:ascii="Arial" w:hAnsi="Arial" w:cs="Arial"/>
                                      <w:b/>
                                    </w:rPr>
                                  </w:pPr>
                                  <w:r>
                                    <w:rPr>
                                      <w:rFonts w:cs="Arial" w:ascii="Arial" w:hAnsi="Arial"/>
                                      <w:b/>
                                    </w:rPr>
                                    <w:t>Professional Grade Category:</w:t>
                                  </w:r>
                                </w:p>
                              </w:tc>
                              <w:tc>
                                <w:tcPr>
                                  <w:tcW w:w="5176" w:type="dxa"/>
                                  <w:tcBorders/>
                                </w:tcPr>
                                <w:p>
                                  <w:pPr>
                                    <w:pStyle w:val="NoSpacing"/>
                                    <w:spacing w:lineRule="auto" w:line="240" w:before="0" w:after="0"/>
                                    <w:ind w:left="142" w:right="0"/>
                                    <w:rPr/>
                                  </w:pPr>
                                  <w:r>
                                    <w:rPr>
                                      <w:rFonts w:cs="Arial" w:ascii="Arial" w:hAnsi="Arial"/>
                                      <w:i/>
                                    </w:rPr>
                                    <w:t xml:space="preserve">K </w:t>
                                  </w:r>
                                  <w:r>
                                    <w:rPr>
                                      <w:rFonts w:cs="Arial" w:ascii="Arial" w:hAnsi="Arial"/>
                                      <w:color w:val="000000"/>
                                    </w:rPr>
                                    <w:t>£52647-56755</w:t>
                                  </w:r>
                                  <w:r>
                                    <w:rPr>
                                      <w:rFonts w:cs="Arial" w:ascii="Arial" w:hAnsi="Arial"/>
                                    </w:rPr>
                                    <w:t xml:space="preserve">full-time, all-year round </w:t>
                                  </w:r>
                                  <w:r>
                                    <w:rPr>
                                      <w:rFonts w:cs="Arial" w:ascii="Arial" w:hAnsi="Arial"/>
                                      <w:b/>
                                      <w:bCs/>
                                      <w:i/>
                                      <w:iCs/>
                                      <w:color w:val="000000"/>
                                    </w:rPr>
                                    <w:t> </w:t>
                                  </w:r>
                                </w:p>
                                <w:p>
                                  <w:pPr>
                                    <w:pStyle w:val="NoSpacing"/>
                                    <w:spacing w:lineRule="auto" w:line="240" w:before="0" w:after="0"/>
                                    <w:ind w:left="142" w:right="0"/>
                                    <w:rPr>
                                      <w:rFonts w:ascii="Arial" w:hAnsi="Arial" w:cs="Arial"/>
                                      <w:i/>
                                      <w:i/>
                                    </w:rPr>
                                  </w:pPr>
                                  <w:r>
                                    <w:rPr>
                                      <w:rFonts w:cs="Arial" w:ascii="Arial" w:hAnsi="Arial"/>
                                      <w:i/>
                                    </w:rPr>
                                    <w:t>EH49</w:t>
                                  </w:r>
                                </w:p>
                                <w:p>
                                  <w:pPr>
                                    <w:pStyle w:val="NoSpacing"/>
                                    <w:spacing w:lineRule="auto" w:line="240" w:before="0" w:after="0"/>
                                    <w:ind w:left="142" w:right="0"/>
                                    <w:rPr>
                                      <w:rFonts w:ascii="Arial" w:hAnsi="Arial" w:cs="Arial"/>
                                      <w:i/>
                                      <w:i/>
                                    </w:rPr>
                                  </w:pPr>
                                  <w:r>
                                    <w:rPr>
                                      <w:rFonts w:cs="Arial" w:ascii="Arial" w:hAnsi="Arial"/>
                                      <w:i/>
                                    </w:rPr>
                                    <w:t xml:space="preserve">Professional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Responsible to:</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Head of SEND</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Contract Basis: </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Permanent</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Hours Per Week:              36 hours </w:t>
                                  </w:r>
                                </w:p>
                              </w:tc>
                              <w:tc>
                                <w:tcPr>
                                  <w:tcW w:w="5176" w:type="dxa"/>
                                  <w:tcBorders/>
                                </w:tcPr>
                                <w:p>
                                  <w:pPr>
                                    <w:pStyle w:val="NoSpacing"/>
                                    <w:snapToGrid w:val="false"/>
                                    <w:spacing w:lineRule="auto" w:line="240" w:before="0" w:after="0"/>
                                    <w:ind w:left="142" w:right="0"/>
                                    <w:rPr>
                                      <w:rFonts w:ascii="Arial" w:hAnsi="Arial" w:cs="Arial"/>
                                      <w:i/>
                                      <w:i/>
                                    </w:rPr>
                                  </w:pPr>
                                  <w:r>
                                    <w:rPr>
                                      <w:rFonts w:cs="Arial" w:ascii="Arial" w:hAnsi="Arial"/>
                                      <w:i/>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Working Pattern:</w:t>
                                  </w:r>
                                </w:p>
                              </w:tc>
                              <w:tc>
                                <w:tcPr>
                                  <w:tcW w:w="5176" w:type="dxa"/>
                                  <w:tcBorders/>
                                </w:tcPr>
                                <w:p>
                                  <w:pPr>
                                    <w:pStyle w:val="NoSpacing"/>
                                    <w:spacing w:lineRule="auto" w:line="240" w:before="0" w:after="0"/>
                                    <w:ind w:left="142" w:right="0"/>
                                    <w:rPr>
                                      <w:rFonts w:ascii="Arial" w:hAnsi="Arial" w:cs="Arial"/>
                                      <w:i/>
                                      <w:i/>
                                      <w:u w:val="single"/>
                                    </w:rPr>
                                  </w:pPr>
                                  <w:r>
                                    <w:rPr>
                                      <w:rFonts w:cs="Arial" w:ascii="Arial" w:hAnsi="Arial"/>
                                      <w:i/>
                                      <w:u w:val="single"/>
                                    </w:rPr>
                                    <w:t>Core hours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Location:</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Main office Base / Home-working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Probationary Period:</w:t>
                                  </w:r>
                                </w:p>
                              </w:tc>
                              <w:tc>
                                <w:tcPr>
                                  <w:tcW w:w="5176" w:type="dxa"/>
                                  <w:tcBorders/>
                                </w:tcPr>
                                <w:p>
                                  <w:pPr>
                                    <w:pStyle w:val="NoSpacing"/>
                                    <w:spacing w:lineRule="auto" w:line="240" w:before="0" w:after="0"/>
                                    <w:ind w:left="142" w:right="0"/>
                                    <w:rPr>
                                      <w:rFonts w:ascii="Arial" w:hAnsi="Arial" w:cs="Arial"/>
                                    </w:rPr>
                                  </w:pPr>
                                  <w:r>
                                    <w:rPr>
                                      <w:rFonts w:cs="Arial" w:ascii="Arial" w:hAnsi="Arial"/>
                                    </w:rPr>
                                    <w:t>6 months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Criminal records Check required:</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e.g. DBS / barred list check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Politically Restricted Post:  </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Yes/No. </w:t>
                                  </w:r>
                                </w:p>
                              </w:tc>
                            </w:tr>
                          </w:tbl>
                          <w:p>
                            <w:pPr>
                              <w:pStyle w:val="NoSpacing"/>
                              <w:ind w:left="142" w:right="0"/>
                              <w:jc w:val="center"/>
                              <w:rPr>
                                <w:rFonts w:ascii="Arial" w:hAnsi="Arial" w:cs="Arial"/>
                              </w:rPr>
                            </w:pPr>
                            <w:r>
                              <w:rPr>
                                <w:rFonts w:cs="Arial" w:ascii="Arial" w:hAnsi="Arial"/>
                              </w:rPr>
                            </w:r>
                          </w:p>
                          <w:p>
                            <w:pPr>
                              <w:pStyle w:val="FrameContents"/>
                              <w:ind w:left="142" w:right="0"/>
                              <w:jc w:val="center"/>
                              <w:rPr>
                                <w:rFonts w:ascii="Arial" w:hAnsi="Arial" w:cs="Arial"/>
                              </w:rPr>
                            </w:pPr>
                            <w:r>
                              <w:rPr>
                                <w:rFonts w:cs="Arial" w:ascii="Arial" w:hAnsi="Arial"/>
                              </w:rPr>
                            </w:r>
                          </w:p>
                        </w:txbxContent>
                      </wps:txbx>
                      <wps:bodyPr anchor="t" lIns="92075" tIns="46355" rIns="92075" bIns="46355">
                        <a:noAutofit/>
                      </wps:bodyPr>
                    </wps:wsp>
                  </a:graphicData>
                </a:graphic>
              </wp:anchor>
            </w:drawing>
          </mc:Choice>
          <mc:Fallback>
            <w:pict>
              <v:rect fillcolor="#FFFFFF" style="position:absolute;rotation:-0;width:474.65pt;height:239.95pt;mso-wrap-distance-left:1.5pt;mso-wrap-distance-right:0.85pt;mso-wrap-distance-top:5.7pt;mso-wrap-distance-bottom:5.7pt;margin-top:0.9pt;mso-position-vertical-relative:text;margin-left:0.25pt;mso-position-horizontal-relative:text">
                <v:textbox inset="0.100694444444444in,0.0506944444444444in,0.100694444444444in,0.0506944444444444in">
                  <w:txbxContent>
                    <w:p>
                      <w:pPr>
                        <w:pStyle w:val="NoSpacing"/>
                        <w:ind w:left="142" w:right="0"/>
                        <w:jc w:val="center"/>
                        <w:rPr>
                          <w:rFonts w:ascii="Arial" w:hAnsi="Arial" w:cs="Arial"/>
                          <w:b/>
                        </w:rPr>
                      </w:pPr>
                      <w:r>
                        <w:rPr>
                          <w:rFonts w:cs="Arial" w:ascii="Arial" w:hAnsi="Arial"/>
                          <w:b/>
                        </w:rPr>
                        <w:t>Job Title</w:t>
                      </w:r>
                    </w:p>
                    <w:tbl>
                      <w:tblPr>
                        <w:tblW w:w="9144" w:type="dxa"/>
                        <w:jc w:val="left"/>
                        <w:tblInd w:w="108" w:type="dxa"/>
                        <w:tblLayout w:type="fixed"/>
                        <w:tblCellMar>
                          <w:top w:w="0" w:type="dxa"/>
                          <w:left w:w="108" w:type="dxa"/>
                          <w:bottom w:w="0" w:type="dxa"/>
                          <w:right w:w="108" w:type="dxa"/>
                        </w:tblCellMar>
                      </w:tblPr>
                      <w:tblGrid>
                        <w:gridCol w:w="3968"/>
                        <w:gridCol w:w="5176"/>
                      </w:tblGrid>
                      <w:tr>
                        <w:trPr>
                          <w:trHeight w:val="272" w:hRule="atLeast"/>
                        </w:trPr>
                        <w:tc>
                          <w:tcPr>
                            <w:tcW w:w="3968" w:type="dxa"/>
                            <w:tcBorders/>
                            <w:vAlign w:val="center"/>
                          </w:tcPr>
                          <w:p>
                            <w:pPr>
                              <w:pStyle w:val="NoSpacing"/>
                              <w:spacing w:lineRule="auto" w:line="240" w:before="0" w:after="0"/>
                              <w:ind w:left="142" w:right="0"/>
                              <w:rPr>
                                <w:rFonts w:ascii="Arial" w:hAnsi="Arial" w:cs="Arial"/>
                                <w:b/>
                              </w:rPr>
                            </w:pPr>
                            <w:r>
                              <w:rPr>
                                <w:rFonts w:cs="Arial" w:ascii="Arial" w:hAnsi="Arial"/>
                                <w:b/>
                              </w:rPr>
                              <w:t xml:space="preserve">Team: SEND Service                                                   </w:t>
                            </w:r>
                          </w:p>
                        </w:tc>
                        <w:tc>
                          <w:tcPr>
                            <w:tcW w:w="5176" w:type="dxa"/>
                            <w:tcBorders/>
                          </w:tcPr>
                          <w:p>
                            <w:pPr>
                              <w:pStyle w:val="NoSpacing"/>
                              <w:spacing w:lineRule="auto" w:line="240" w:before="0" w:after="0"/>
                              <w:ind w:left="142" w:right="0"/>
                              <w:jc w:val="center"/>
                              <w:rPr>
                                <w:rFonts w:ascii="Arial" w:hAnsi="Arial" w:cs="Arial"/>
                                <w:b/>
                              </w:rPr>
                            </w:pPr>
                            <w:r>
                              <w:rPr>
                                <w:rFonts w:cs="Arial" w:ascii="Arial" w:hAnsi="Arial"/>
                                <w:b/>
                              </w:rPr>
                              <w:t xml:space="preserve">Deputy Head of SEND EaH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Service: Children’s Services </w:t>
                            </w:r>
                          </w:p>
                        </w:tc>
                        <w:tc>
                          <w:tcPr>
                            <w:tcW w:w="5176" w:type="dxa"/>
                            <w:tcBorders/>
                          </w:tcPr>
                          <w:p>
                            <w:pPr>
                              <w:pStyle w:val="NoSpacing"/>
                              <w:snapToGrid w:val="false"/>
                              <w:spacing w:lineRule="auto" w:line="240" w:before="0" w:after="0"/>
                              <w:ind w:left="142" w:right="0"/>
                              <w:rPr>
                                <w:rFonts w:ascii="Arial" w:hAnsi="Arial" w:cs="Arial"/>
                              </w:rPr>
                            </w:pPr>
                            <w:r>
                              <w:rPr>
                                <w:rFonts w:cs="Arial" w:ascii="Arial" w:hAnsi="Arial"/>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Salary &amp; Grade/Band/Pay Range:</w:t>
                            </w:r>
                          </w:p>
                          <w:p>
                            <w:pPr>
                              <w:pStyle w:val="NoSpacing"/>
                              <w:spacing w:lineRule="auto" w:line="240" w:before="0" w:after="0"/>
                              <w:ind w:left="142" w:right="0"/>
                              <w:rPr>
                                <w:rFonts w:ascii="Arial" w:hAnsi="Arial" w:cs="Arial"/>
                                <w:b/>
                              </w:rPr>
                            </w:pPr>
                            <w:r>
                              <w:rPr>
                                <w:rFonts w:cs="Arial" w:ascii="Arial" w:hAnsi="Arial"/>
                                <w:b/>
                              </w:rPr>
                              <w:t>Job ID:</w:t>
                            </w:r>
                          </w:p>
                          <w:p>
                            <w:pPr>
                              <w:pStyle w:val="NoSpacing"/>
                              <w:spacing w:lineRule="auto" w:line="240" w:before="0" w:after="0"/>
                              <w:ind w:left="142" w:right="0"/>
                              <w:rPr>
                                <w:rFonts w:ascii="Arial" w:hAnsi="Arial" w:cs="Arial"/>
                                <w:b/>
                              </w:rPr>
                            </w:pPr>
                            <w:r>
                              <w:rPr>
                                <w:rFonts w:cs="Arial" w:ascii="Arial" w:hAnsi="Arial"/>
                                <w:b/>
                              </w:rPr>
                              <w:t>Professional Grade Category:</w:t>
                            </w:r>
                          </w:p>
                        </w:tc>
                        <w:tc>
                          <w:tcPr>
                            <w:tcW w:w="5176" w:type="dxa"/>
                            <w:tcBorders/>
                          </w:tcPr>
                          <w:p>
                            <w:pPr>
                              <w:pStyle w:val="NoSpacing"/>
                              <w:spacing w:lineRule="auto" w:line="240" w:before="0" w:after="0"/>
                              <w:ind w:left="142" w:right="0"/>
                              <w:rPr/>
                            </w:pPr>
                            <w:r>
                              <w:rPr>
                                <w:rFonts w:cs="Arial" w:ascii="Arial" w:hAnsi="Arial"/>
                                <w:i/>
                              </w:rPr>
                              <w:t xml:space="preserve">K </w:t>
                            </w:r>
                            <w:r>
                              <w:rPr>
                                <w:rFonts w:cs="Arial" w:ascii="Arial" w:hAnsi="Arial"/>
                                <w:color w:val="000000"/>
                              </w:rPr>
                              <w:t>£52647-56755</w:t>
                            </w:r>
                            <w:r>
                              <w:rPr>
                                <w:rFonts w:cs="Arial" w:ascii="Arial" w:hAnsi="Arial"/>
                              </w:rPr>
                              <w:t xml:space="preserve">full-time, all-year round </w:t>
                            </w:r>
                            <w:r>
                              <w:rPr>
                                <w:rFonts w:cs="Arial" w:ascii="Arial" w:hAnsi="Arial"/>
                                <w:b/>
                                <w:bCs/>
                                <w:i/>
                                <w:iCs/>
                                <w:color w:val="000000"/>
                              </w:rPr>
                              <w:t> </w:t>
                            </w:r>
                          </w:p>
                          <w:p>
                            <w:pPr>
                              <w:pStyle w:val="NoSpacing"/>
                              <w:spacing w:lineRule="auto" w:line="240" w:before="0" w:after="0"/>
                              <w:ind w:left="142" w:right="0"/>
                              <w:rPr>
                                <w:rFonts w:ascii="Arial" w:hAnsi="Arial" w:cs="Arial"/>
                                <w:i/>
                                <w:i/>
                              </w:rPr>
                            </w:pPr>
                            <w:r>
                              <w:rPr>
                                <w:rFonts w:cs="Arial" w:ascii="Arial" w:hAnsi="Arial"/>
                                <w:i/>
                              </w:rPr>
                              <w:t>EH49</w:t>
                            </w:r>
                          </w:p>
                          <w:p>
                            <w:pPr>
                              <w:pStyle w:val="NoSpacing"/>
                              <w:spacing w:lineRule="auto" w:line="240" w:before="0" w:after="0"/>
                              <w:ind w:left="142" w:right="0"/>
                              <w:rPr>
                                <w:rFonts w:ascii="Arial" w:hAnsi="Arial" w:cs="Arial"/>
                                <w:i/>
                                <w:i/>
                              </w:rPr>
                            </w:pPr>
                            <w:r>
                              <w:rPr>
                                <w:rFonts w:cs="Arial" w:ascii="Arial" w:hAnsi="Arial"/>
                                <w:i/>
                              </w:rPr>
                              <w:t xml:space="preserve">Professional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Responsible to:</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Head of SEND</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Contract Basis: </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Permanent</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Hours Per Week:              36 hours </w:t>
                            </w:r>
                          </w:p>
                        </w:tc>
                        <w:tc>
                          <w:tcPr>
                            <w:tcW w:w="5176" w:type="dxa"/>
                            <w:tcBorders/>
                          </w:tcPr>
                          <w:p>
                            <w:pPr>
                              <w:pStyle w:val="NoSpacing"/>
                              <w:snapToGrid w:val="false"/>
                              <w:spacing w:lineRule="auto" w:line="240" w:before="0" w:after="0"/>
                              <w:ind w:left="142" w:right="0"/>
                              <w:rPr>
                                <w:rFonts w:ascii="Arial" w:hAnsi="Arial" w:cs="Arial"/>
                                <w:i/>
                                <w:i/>
                              </w:rPr>
                            </w:pPr>
                            <w:r>
                              <w:rPr>
                                <w:rFonts w:cs="Arial" w:ascii="Arial" w:hAnsi="Arial"/>
                                <w:i/>
                              </w:rPr>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Working Pattern:</w:t>
                            </w:r>
                          </w:p>
                        </w:tc>
                        <w:tc>
                          <w:tcPr>
                            <w:tcW w:w="5176" w:type="dxa"/>
                            <w:tcBorders/>
                          </w:tcPr>
                          <w:p>
                            <w:pPr>
                              <w:pStyle w:val="NoSpacing"/>
                              <w:spacing w:lineRule="auto" w:line="240" w:before="0" w:after="0"/>
                              <w:ind w:left="142" w:right="0"/>
                              <w:rPr>
                                <w:rFonts w:ascii="Arial" w:hAnsi="Arial" w:cs="Arial"/>
                                <w:i/>
                                <w:i/>
                                <w:u w:val="single"/>
                              </w:rPr>
                            </w:pPr>
                            <w:r>
                              <w:rPr>
                                <w:rFonts w:cs="Arial" w:ascii="Arial" w:hAnsi="Arial"/>
                                <w:i/>
                                <w:u w:val="single"/>
                              </w:rPr>
                              <w:t>Core hours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Location:</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Main office Base / Home-working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Probationary Period:</w:t>
                            </w:r>
                          </w:p>
                        </w:tc>
                        <w:tc>
                          <w:tcPr>
                            <w:tcW w:w="5176" w:type="dxa"/>
                            <w:tcBorders/>
                          </w:tcPr>
                          <w:p>
                            <w:pPr>
                              <w:pStyle w:val="NoSpacing"/>
                              <w:spacing w:lineRule="auto" w:line="240" w:before="0" w:after="0"/>
                              <w:ind w:left="142" w:right="0"/>
                              <w:rPr>
                                <w:rFonts w:ascii="Arial" w:hAnsi="Arial" w:cs="Arial"/>
                              </w:rPr>
                            </w:pPr>
                            <w:r>
                              <w:rPr>
                                <w:rFonts w:cs="Arial" w:ascii="Arial" w:hAnsi="Arial"/>
                              </w:rPr>
                              <w:t>6 months</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Criminal records Check required:</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e.g. DBS / barred list check </w:t>
                            </w:r>
                          </w:p>
                        </w:tc>
                      </w:tr>
                      <w:tr>
                        <w:trPr>
                          <w:trHeight w:val="272" w:hRule="atLeast"/>
                        </w:trPr>
                        <w:tc>
                          <w:tcPr>
                            <w:tcW w:w="3968" w:type="dxa"/>
                            <w:tcBorders/>
                          </w:tcPr>
                          <w:p>
                            <w:pPr>
                              <w:pStyle w:val="NoSpacing"/>
                              <w:spacing w:lineRule="auto" w:line="240" w:before="0" w:after="0"/>
                              <w:ind w:left="142" w:right="0"/>
                              <w:rPr>
                                <w:rFonts w:ascii="Arial" w:hAnsi="Arial" w:cs="Arial"/>
                                <w:b/>
                              </w:rPr>
                            </w:pPr>
                            <w:r>
                              <w:rPr>
                                <w:rFonts w:cs="Arial" w:ascii="Arial" w:hAnsi="Arial"/>
                                <w:b/>
                              </w:rPr>
                              <w:t xml:space="preserve">Politically Restricted Post:  </w:t>
                            </w:r>
                          </w:p>
                        </w:tc>
                        <w:tc>
                          <w:tcPr>
                            <w:tcW w:w="5176" w:type="dxa"/>
                            <w:tcBorders/>
                          </w:tcPr>
                          <w:p>
                            <w:pPr>
                              <w:pStyle w:val="NoSpacing"/>
                              <w:spacing w:lineRule="auto" w:line="240" w:before="0" w:after="0"/>
                              <w:ind w:left="142" w:right="0"/>
                              <w:rPr>
                                <w:rFonts w:ascii="Arial" w:hAnsi="Arial" w:cs="Arial"/>
                                <w:i/>
                                <w:i/>
                              </w:rPr>
                            </w:pPr>
                            <w:r>
                              <w:rPr>
                                <w:rFonts w:cs="Arial" w:ascii="Arial" w:hAnsi="Arial"/>
                                <w:i/>
                              </w:rPr>
                              <w:t xml:space="preserve">Yes/No. </w:t>
                            </w:r>
                          </w:p>
                        </w:tc>
                      </w:tr>
                    </w:tbl>
                    <w:p>
                      <w:pPr>
                        <w:pStyle w:val="NoSpacing"/>
                        <w:ind w:left="142" w:right="0"/>
                        <w:jc w:val="center"/>
                        <w:rPr>
                          <w:rFonts w:ascii="Arial" w:hAnsi="Arial" w:cs="Arial"/>
                        </w:rPr>
                      </w:pPr>
                      <w:r>
                        <w:rPr>
                          <w:rFonts w:cs="Arial" w:ascii="Arial" w:hAnsi="Arial"/>
                        </w:rPr>
                      </w:r>
                    </w:p>
                    <w:p>
                      <w:pPr>
                        <w:pStyle w:val="FrameContents"/>
                        <w:ind w:left="142" w:right="0"/>
                        <w:jc w:val="center"/>
                        <w:rPr>
                          <w:rFonts w:ascii="Arial" w:hAnsi="Arial" w:cs="Arial"/>
                        </w:rPr>
                      </w:pPr>
                      <w:r>
                        <w:rPr>
                          <w:rFonts w:cs="Arial" w:ascii="Arial" w:hAnsi="Arial"/>
                        </w:rPr>
                      </w:r>
                    </w:p>
                  </w:txbxContent>
                </v:textbox>
                <w10:wrap type="none"/>
              </v:rect>
            </w:pict>
          </mc:Fallback>
        </mc:AlternateContent>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 w:cs="Calibri"/>
          <w:b/>
          <w:bCs/>
          <w:sz w:val="22"/>
          <w:szCs w:val="22"/>
        </w:rPr>
      </w:pPr>
      <w:r>
        <w:rPr>
          <w:rFonts w:eastAsia="" w:cs="Calibri" w:ascii="Calibri" w:hAnsi="Calibri"/>
          <w:b/>
          <w:bCs/>
          <w:sz w:val="22"/>
          <w:szCs w:val="22"/>
        </w:rPr>
      </w:r>
    </w:p>
    <w:p>
      <w:pPr>
        <w:pStyle w:val="Normal"/>
        <w:spacing w:lineRule="auto" w:line="276"/>
        <w:jc w:val="both"/>
        <w:rPr>
          <w:rFonts w:ascii="Calibri" w:hAnsi="Calibri" w:eastAsia="Calibri" w:cs="Calibri"/>
          <w:b/>
          <w:bCs/>
          <w:sz w:val="22"/>
          <w:szCs w:val="22"/>
        </w:rPr>
      </w:pPr>
      <w:r>
        <w:rPr>
          <w:rFonts w:eastAsia="Calibri" w:cs="Calibri" w:ascii="Calibri" w:hAnsi="Calibri"/>
          <w:b/>
          <w:bCs/>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tbl>
      <w:tblPr>
        <w:tblW w:w="9475" w:type="dxa"/>
        <w:jc w:val="left"/>
        <w:tblInd w:w="108" w:type="dxa"/>
        <w:tblLayout w:type="fixed"/>
        <w:tblCellMar>
          <w:top w:w="0" w:type="dxa"/>
          <w:left w:w="108" w:type="dxa"/>
          <w:bottom w:w="0" w:type="dxa"/>
          <w:right w:w="108" w:type="dxa"/>
        </w:tblCellMar>
      </w:tblPr>
      <w:tblGrid>
        <w:gridCol w:w="9475"/>
      </w:tblGrid>
      <w:tr>
        <w:trPr/>
        <w:tc>
          <w:tcPr>
            <w:tcW w:w="947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Calibri" w:hAnsi="Calibri" w:eastAsia="Calibri" w:cs="Calibri"/>
                <w:b/>
                <w:sz w:val="22"/>
                <w:szCs w:val="22"/>
              </w:rPr>
            </w:pPr>
            <w:r>
              <w:rPr>
                <w:rFonts w:eastAsia="Calibri" w:cs="Calibri" w:ascii="Calibri" w:hAnsi="Calibri"/>
                <w:b/>
                <w:sz w:val="22"/>
                <w:szCs w:val="22"/>
              </w:rPr>
              <w:t>What’s the post, and what are we looking for?</w:t>
            </w:r>
          </w:p>
          <w:p>
            <w:pPr>
              <w:pStyle w:val="Normal"/>
              <w:spacing w:lineRule="auto" w:line="240" w:before="0" w:after="0"/>
              <w:rPr>
                <w:rFonts w:ascii="Calibri" w:hAnsi="Calibri" w:eastAsia="Calibri" w:cs="Calibri"/>
                <w:b/>
                <w:sz w:val="22"/>
                <w:szCs w:val="22"/>
              </w:rPr>
            </w:pPr>
            <w:r>
              <w:rPr>
                <w:rFonts w:eastAsia="Calibri" w:cs="Calibri" w:ascii="Calibri" w:hAnsi="Calibri"/>
                <w:b/>
                <w:sz w:val="22"/>
                <w:szCs w:val="22"/>
              </w:rPr>
            </w:r>
          </w:p>
        </w:tc>
      </w:tr>
      <w:tr>
        <w:trPr>
          <w:trHeight w:val="6719" w:hRule="atLeast"/>
        </w:trPr>
        <w:tc>
          <w:tcPr>
            <w:tcW w:w="9475" w:type="dxa"/>
            <w:tcBorders>
              <w:top w:val="single" w:sz="18" w:space="0" w:color="7030A0"/>
              <w:left w:val="single" w:sz="18" w:space="0" w:color="7030A0"/>
              <w:bottom w:val="single" w:sz="18" w:space="0" w:color="7030A0"/>
              <w:right w:val="single" w:sz="18" w:space="0" w:color="7030A0"/>
            </w:tcBorders>
          </w:tcPr>
          <w:p>
            <w:pPr>
              <w:pStyle w:val="NormalWeb"/>
              <w:spacing w:lineRule="auto" w:line="240" w:before="0" w:after="280"/>
              <w:rPr>
                <w:rFonts w:ascii="Calibri" w:hAnsi="Calibri" w:cs="Calibri"/>
                <w:b/>
                <w:bCs/>
                <w:sz w:val="22"/>
                <w:szCs w:val="22"/>
              </w:rPr>
            </w:pPr>
            <w:r>
              <w:rPr>
                <w:rFonts w:cs="Calibri" w:ascii="Calibri" w:hAnsi="Calibri"/>
                <w:b/>
                <w:bCs/>
                <w:sz w:val="22"/>
                <w:szCs w:val="22"/>
              </w:rPr>
              <w:t>Role Overview</w:t>
            </w:r>
          </w:p>
          <w:p>
            <w:pPr>
              <w:pStyle w:val="NormalWeb"/>
              <w:spacing w:lineRule="atLeast" w:line="300" w:before="280" w:after="280"/>
              <w:rPr>
                <w:rFonts w:ascii="Calibri" w:hAnsi="Calibri" w:cs="Calibri"/>
                <w:sz w:val="22"/>
                <w:szCs w:val="22"/>
              </w:rPr>
            </w:pPr>
            <w:r>
              <w:rPr>
                <w:rFonts w:cs="Calibri" w:ascii="Calibri" w:hAnsi="Calibri"/>
                <w:sz w:val="22"/>
                <w:szCs w:val="22"/>
              </w:rPr>
              <w:t>As Deputy Head of SEND, you will provide strategic leadership across Tameside’s SEND system, working alongside the Head of SEND Service to drive improvement, inclusion and positive outcomes for children and young people with SEND.</w:t>
            </w:r>
          </w:p>
          <w:p>
            <w:pPr>
              <w:pStyle w:val="NormalWeb"/>
              <w:spacing w:lineRule="atLeast" w:line="300" w:before="280" w:after="280"/>
              <w:rPr/>
            </w:pPr>
            <w:r>
              <w:rPr>
                <w:rFonts w:cs="Calibri" w:ascii="Calibri" w:hAnsi="Calibri"/>
                <w:sz w:val="22"/>
                <w:szCs w:val="22"/>
              </w:rPr>
              <w:t xml:space="preserve">The significant focus of the role is leading the development and implementation of Tameside’s </w:t>
            </w:r>
            <w:r>
              <w:rPr>
                <w:rStyle w:val="Strong"/>
                <w:rFonts w:cs="Calibri" w:ascii="Calibri" w:hAnsi="Calibri"/>
                <w:b w:val="false"/>
                <w:bCs w:val="false"/>
                <w:sz w:val="22"/>
                <w:szCs w:val="22"/>
              </w:rPr>
              <w:t>Experts at Hand</w:t>
            </w:r>
            <w:r>
              <w:rPr>
                <w:rFonts w:cs="Calibri" w:ascii="Calibri" w:hAnsi="Calibri"/>
                <w:sz w:val="22"/>
                <w:szCs w:val="22"/>
              </w:rPr>
              <w:t xml:space="preserve"> model, creating a sustainable system of  support that strengthens inclusive practice, builds capacity across mainstream and specialist settings, and ensures children receive the right support at the earliest opportunity.</w:t>
            </w:r>
          </w:p>
          <w:p>
            <w:pPr>
              <w:pStyle w:val="NormalWeb"/>
              <w:spacing w:lineRule="atLeast" w:line="300" w:before="280" w:after="280"/>
              <w:rPr>
                <w:rFonts w:ascii="Calibri" w:hAnsi="Calibri" w:cs="Calibri"/>
                <w:sz w:val="22"/>
                <w:szCs w:val="22"/>
              </w:rPr>
            </w:pPr>
            <w:r>
              <w:rPr>
                <w:rFonts w:cs="Calibri" w:ascii="Calibri" w:hAnsi="Calibri"/>
                <w:sz w:val="22"/>
                <w:szCs w:val="22"/>
              </w:rPr>
              <w:t>You will work collaboratively across education, health and social care to deliver SEND reform, champion co-production, and embed high-quality, evidence-informed practice. Through strong partnership working, innovation and system leadership, you will help create a connected, inclusive and self-improving local area where expertise is shared, schools are empowered, and children and young people thrive.</w:t>
            </w:r>
          </w:p>
          <w:p>
            <w:pPr>
              <w:pStyle w:val="NormalWeb"/>
              <w:spacing w:lineRule="atLeast" w:line="300" w:before="280" w:after="280"/>
              <w:rPr>
                <w:rFonts w:ascii="Calibri" w:hAnsi="Calibri" w:cs="Calibri"/>
                <w:sz w:val="22"/>
                <w:szCs w:val="22"/>
              </w:rPr>
            </w:pPr>
            <w:r>
              <w:rPr>
                <w:rFonts w:cs="Calibri" w:ascii="Calibri" w:hAnsi="Calibri"/>
                <w:sz w:val="22"/>
                <w:szCs w:val="22"/>
              </w:rPr>
              <w:t>This role offers a unique opportunity to shape inclusion at a system level, leading transformational change that improves experiences and outcomes for children, young people and their families.</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Strategic Leadership</w:t>
            </w:r>
          </w:p>
          <w:p>
            <w:pPr>
              <w:pStyle w:val="Normal"/>
              <w:numPr>
                <w:ilvl w:val="0"/>
                <w:numId w:val="2"/>
              </w:numPr>
              <w:spacing w:lineRule="atLeast" w:line="300" w:before="280" w:after="0"/>
              <w:rPr/>
            </w:pPr>
            <w:r>
              <w:rPr>
                <w:rFonts w:cs="Calibri" w:ascii="Calibri" w:hAnsi="Calibri"/>
                <w:sz w:val="22"/>
                <w:szCs w:val="22"/>
                <w:lang w:eastAsia="en-GB"/>
              </w:rPr>
              <w:t>Provide strategic leadership for the development and delivery of the Experts at Hand service across the local area SEND system.</w:t>
            </w:r>
          </w:p>
          <w:p>
            <w:pPr>
              <w:pStyle w:val="Normal"/>
              <w:numPr>
                <w:ilvl w:val="0"/>
                <w:numId w:val="2"/>
              </w:numPr>
              <w:spacing w:lineRule="atLeast" w:line="300" w:before="0" w:after="0"/>
              <w:rPr/>
            </w:pPr>
            <w:r>
              <w:rPr>
                <w:rFonts w:cs="Calibri" w:ascii="Calibri" w:hAnsi="Calibri"/>
                <w:sz w:val="22"/>
                <w:szCs w:val="22"/>
                <w:lang w:eastAsia="en-GB"/>
              </w:rPr>
              <w:t>Drive the contribution of Experts at Hand to local SEND improvement and transformation programmes in line with national reforms, inspection outcomes and local priorities.</w:t>
            </w:r>
          </w:p>
          <w:p>
            <w:pPr>
              <w:pStyle w:val="Normal"/>
              <w:numPr>
                <w:ilvl w:val="0"/>
                <w:numId w:val="2"/>
              </w:numPr>
              <w:spacing w:lineRule="atLeast" w:line="300" w:before="0" w:after="0"/>
              <w:rPr/>
            </w:pPr>
            <w:r>
              <w:rPr>
                <w:rFonts w:cs="Calibri" w:ascii="Calibri" w:hAnsi="Calibri"/>
                <w:sz w:val="22"/>
                <w:szCs w:val="22"/>
                <w:lang w:eastAsia="en-GB"/>
              </w:rPr>
              <w:t>Provide strategic oversight of service impact, ensuring specialist advice and intervention are evidence-based, outcome-focused and responsive to emerging needs.</w:t>
            </w:r>
          </w:p>
          <w:p>
            <w:pPr>
              <w:pStyle w:val="Normal"/>
              <w:numPr>
                <w:ilvl w:val="0"/>
                <w:numId w:val="2"/>
              </w:numPr>
              <w:spacing w:lineRule="atLeast" w:line="300" w:before="0" w:after="0"/>
              <w:rPr/>
            </w:pPr>
            <w:r>
              <w:rPr>
                <w:rFonts w:cs="Calibri" w:ascii="Calibri" w:hAnsi="Calibri"/>
                <w:sz w:val="22"/>
                <w:szCs w:val="22"/>
                <w:lang w:eastAsia="en-GB"/>
              </w:rPr>
              <w:t>Contribute to the development of specialist practice frameworks that support inclusion, early intervention and improved outcomes for children and young people with SEND.</w:t>
            </w:r>
          </w:p>
          <w:p>
            <w:pPr>
              <w:pStyle w:val="Normal"/>
              <w:numPr>
                <w:ilvl w:val="0"/>
                <w:numId w:val="2"/>
              </w:numPr>
              <w:spacing w:lineRule="atLeast" w:line="300" w:before="0" w:after="0"/>
              <w:rPr/>
            </w:pPr>
            <w:r>
              <w:rPr>
                <w:rFonts w:cs="Calibri" w:ascii="Calibri" w:hAnsi="Calibri"/>
                <w:sz w:val="22"/>
                <w:szCs w:val="22"/>
                <w:lang w:eastAsia="en-GB"/>
              </w:rPr>
              <w:t>Strengthen system leadership across education, health and social care through the provision of expert guidance, consultation and challenge.</w:t>
            </w:r>
          </w:p>
          <w:p>
            <w:pPr>
              <w:pStyle w:val="Normal"/>
              <w:numPr>
                <w:ilvl w:val="0"/>
                <w:numId w:val="2"/>
              </w:numPr>
              <w:spacing w:lineRule="atLeast" w:line="300" w:before="0" w:after="0"/>
              <w:rPr/>
            </w:pPr>
            <w:r>
              <w:rPr>
                <w:rFonts w:cs="Calibri" w:ascii="Calibri" w:hAnsi="Calibri"/>
                <w:sz w:val="22"/>
                <w:szCs w:val="22"/>
                <w:lang w:eastAsia="en-GB"/>
              </w:rPr>
              <w:t>Contribute to strategic planning and service development to ensure resources are targeted effectively and support sustainable SEND provision.</w:t>
            </w:r>
          </w:p>
          <w:p>
            <w:pPr>
              <w:pStyle w:val="Normal"/>
              <w:numPr>
                <w:ilvl w:val="0"/>
                <w:numId w:val="2"/>
              </w:numPr>
              <w:spacing w:lineRule="atLeast" w:line="300" w:before="0" w:after="280"/>
              <w:rPr/>
            </w:pPr>
            <w:r>
              <w:rPr>
                <w:rFonts w:cs="Calibri" w:ascii="Calibri" w:hAnsi="Calibri"/>
                <w:sz w:val="22"/>
                <w:szCs w:val="22"/>
                <w:lang w:eastAsia="en-GB"/>
              </w:rPr>
              <w:t>Support improvement of the wider SEND system at a strategic level across partnership boards, forums and decision-making groups, representing the expertise and contribution of Experts at Hand.</w:t>
            </w:r>
          </w:p>
          <w:p>
            <w:pPr>
              <w:pStyle w:val="Normal"/>
              <w:spacing w:lineRule="atLeast" w:line="300" w:before="280" w:after="280"/>
              <w:ind w:left="720" w:right="0"/>
              <w:rPr>
                <w:rFonts w:ascii="Calibri" w:hAnsi="Calibri" w:cs="Calibri"/>
                <w:sz w:val="22"/>
                <w:szCs w:val="22"/>
                <w:lang w:eastAsia="en-GB"/>
              </w:rPr>
            </w:pPr>
            <w:r>
              <w:rPr>
                <w:rFonts w:cs="Calibri" w:ascii="Calibri" w:hAnsi="Calibri"/>
                <w:sz w:val="22"/>
                <w:szCs w:val="22"/>
                <w:lang w:eastAsia="en-GB"/>
              </w:rPr>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Operational Leadership</w:t>
            </w:r>
          </w:p>
          <w:p>
            <w:pPr>
              <w:pStyle w:val="Normal"/>
              <w:numPr>
                <w:ilvl w:val="0"/>
                <w:numId w:val="3"/>
              </w:numPr>
              <w:spacing w:lineRule="atLeast" w:line="300" w:before="280" w:after="0"/>
              <w:rPr/>
            </w:pPr>
            <w:r>
              <w:rPr>
                <w:rFonts w:cs="Calibri" w:ascii="Calibri" w:hAnsi="Calibri"/>
                <w:sz w:val="22"/>
                <w:szCs w:val="22"/>
                <w:lang w:eastAsia="en-GB"/>
              </w:rPr>
              <w:t>Provide leadership, direction and professional oversight to the Experts at Hand team.</w:t>
            </w:r>
          </w:p>
          <w:p>
            <w:pPr>
              <w:pStyle w:val="Normal"/>
              <w:numPr>
                <w:ilvl w:val="0"/>
                <w:numId w:val="3"/>
              </w:numPr>
              <w:spacing w:lineRule="atLeast" w:line="300" w:before="0" w:after="0"/>
              <w:rPr/>
            </w:pPr>
            <w:r>
              <w:rPr>
                <w:rFonts w:cs="Calibri" w:ascii="Calibri" w:hAnsi="Calibri"/>
                <w:sz w:val="22"/>
                <w:szCs w:val="22"/>
                <w:lang w:eastAsia="en-GB"/>
              </w:rPr>
              <w:t>Ensure consistent, high-quality specialist advice, consultation and intervention across education settings and partner agencies.</w:t>
            </w:r>
          </w:p>
          <w:p>
            <w:pPr>
              <w:pStyle w:val="Normal"/>
              <w:numPr>
                <w:ilvl w:val="0"/>
                <w:numId w:val="3"/>
              </w:numPr>
              <w:spacing w:lineRule="atLeast" w:line="300" w:before="0" w:after="0"/>
              <w:rPr/>
            </w:pPr>
            <w:r>
              <w:rPr>
                <w:rFonts w:cs="Calibri" w:ascii="Calibri" w:hAnsi="Calibri"/>
                <w:sz w:val="22"/>
                <w:szCs w:val="22"/>
                <w:lang w:eastAsia="en-GB"/>
              </w:rPr>
              <w:t>Oversee the allocation and prioritisation of support to ensure the service responds effectively to identified needs and local priorities.</w:t>
            </w:r>
          </w:p>
          <w:p>
            <w:pPr>
              <w:pStyle w:val="Normal"/>
              <w:numPr>
                <w:ilvl w:val="0"/>
                <w:numId w:val="3"/>
              </w:numPr>
              <w:spacing w:lineRule="atLeast" w:line="300" w:before="0" w:after="0"/>
              <w:rPr/>
            </w:pPr>
            <w:r>
              <w:rPr>
                <w:rFonts w:cs="Calibri" w:ascii="Calibri" w:hAnsi="Calibri"/>
                <w:sz w:val="22"/>
                <w:szCs w:val="22"/>
                <w:lang w:eastAsia="en-GB"/>
              </w:rPr>
              <w:t>Monitor service performance, impact and outcomes, using data and stakeholder feedback to inform continuous improvement.</w:t>
            </w:r>
          </w:p>
          <w:p>
            <w:pPr>
              <w:pStyle w:val="Normal"/>
              <w:numPr>
                <w:ilvl w:val="0"/>
                <w:numId w:val="3"/>
              </w:numPr>
              <w:spacing w:lineRule="atLeast" w:line="300" w:before="0" w:after="0"/>
              <w:rPr/>
            </w:pPr>
            <w:r>
              <w:rPr>
                <w:rFonts w:cs="Calibri" w:ascii="Calibri" w:hAnsi="Calibri"/>
                <w:sz w:val="22"/>
                <w:szCs w:val="22"/>
                <w:lang w:eastAsia="en-GB"/>
              </w:rPr>
              <w:t>Ensure robust quality assurance processes are embedded across all aspects of service delivery.</w:t>
            </w:r>
          </w:p>
          <w:p>
            <w:pPr>
              <w:pStyle w:val="Normal"/>
              <w:numPr>
                <w:ilvl w:val="0"/>
                <w:numId w:val="3"/>
              </w:numPr>
              <w:spacing w:lineRule="atLeast" w:line="300" w:before="0" w:after="0"/>
              <w:rPr/>
            </w:pPr>
            <w:r>
              <w:rPr>
                <w:rFonts w:cs="Calibri" w:ascii="Calibri" w:hAnsi="Calibri"/>
                <w:sz w:val="22"/>
                <w:szCs w:val="22"/>
                <w:lang w:eastAsia="en-GB"/>
              </w:rPr>
              <w:t>Lead the development and implementation of operational procedures, guidance and practice standards.</w:t>
            </w:r>
          </w:p>
          <w:p>
            <w:pPr>
              <w:pStyle w:val="Normal"/>
              <w:numPr>
                <w:ilvl w:val="0"/>
                <w:numId w:val="3"/>
              </w:numPr>
              <w:spacing w:lineRule="atLeast" w:line="300" w:before="0" w:after="0"/>
              <w:rPr/>
            </w:pPr>
            <w:r>
              <w:rPr>
                <w:rFonts w:cs="Calibri" w:ascii="Calibri" w:hAnsi="Calibri"/>
                <w:sz w:val="22"/>
                <w:szCs w:val="22"/>
                <w:lang w:eastAsia="en-GB"/>
              </w:rPr>
              <w:t>Ensure effective coordination of specialist support across education, health and care partners.</w:t>
            </w:r>
          </w:p>
          <w:p>
            <w:pPr>
              <w:pStyle w:val="Normal"/>
              <w:numPr>
                <w:ilvl w:val="0"/>
                <w:numId w:val="3"/>
              </w:numPr>
              <w:spacing w:lineRule="atLeast" w:line="300" w:before="0" w:after="280"/>
              <w:rPr/>
            </w:pPr>
            <w:r>
              <w:rPr>
                <w:rFonts w:cs="Calibri" w:ascii="Calibri" w:hAnsi="Calibri"/>
                <w:sz w:val="22"/>
                <w:szCs w:val="22"/>
                <w:lang w:eastAsia="en-GB"/>
              </w:rPr>
              <w:t>Promote innovative approaches that strengthen inclusion and reduce escalation to statutory intervention where appropriate.</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Collaboration and Partnership Working</w:t>
            </w:r>
          </w:p>
          <w:p>
            <w:pPr>
              <w:pStyle w:val="Normal"/>
              <w:numPr>
                <w:ilvl w:val="0"/>
                <w:numId w:val="4"/>
              </w:numPr>
              <w:spacing w:lineRule="atLeast" w:line="300" w:before="280" w:after="0"/>
              <w:rPr/>
            </w:pPr>
            <w:r>
              <w:rPr>
                <w:rFonts w:cs="Calibri" w:ascii="Calibri" w:hAnsi="Calibri"/>
                <w:sz w:val="22"/>
                <w:szCs w:val="22"/>
                <w:lang w:eastAsia="en-GB"/>
              </w:rPr>
              <w:t>Work collaboratively with schools, academies, early years settings, colleges, health services , social care partners and teams in Early Help and Prevention to improve outcomes for children and young people with SEND.</w:t>
            </w:r>
          </w:p>
          <w:p>
            <w:pPr>
              <w:pStyle w:val="Normal"/>
              <w:numPr>
                <w:ilvl w:val="0"/>
                <w:numId w:val="4"/>
              </w:numPr>
              <w:spacing w:lineRule="atLeast" w:line="300" w:before="0" w:after="0"/>
              <w:rPr/>
            </w:pPr>
            <w:r>
              <w:rPr>
                <w:rFonts w:cs="Calibri" w:ascii="Calibri" w:hAnsi="Calibri"/>
                <w:sz w:val="22"/>
                <w:szCs w:val="22"/>
                <w:lang w:eastAsia="en-GB"/>
              </w:rPr>
              <w:t>Act as a senior system leader, offering expert guidance on complex, high-profile or sensitive cases and themes, shaping service responses, overseeing risk and decision-making, and delegating case-level management to relevant senior practitioners and casework teams.</w:t>
            </w:r>
          </w:p>
          <w:p>
            <w:pPr>
              <w:pStyle w:val="Normal"/>
              <w:numPr>
                <w:ilvl w:val="0"/>
                <w:numId w:val="4"/>
              </w:numPr>
              <w:spacing w:lineRule="atLeast" w:line="300" w:before="0" w:after="0"/>
              <w:rPr/>
            </w:pPr>
            <w:r>
              <w:rPr>
                <w:rFonts w:cs="Calibri" w:ascii="Calibri" w:hAnsi="Calibri"/>
                <w:sz w:val="22"/>
                <w:szCs w:val="22"/>
                <w:lang w:eastAsia="en-GB"/>
              </w:rPr>
              <w:t>Develop strong partnerships with education leaders to build capacity, confidence and inclusive practice across settings.</w:t>
            </w:r>
          </w:p>
          <w:p>
            <w:pPr>
              <w:pStyle w:val="Normal"/>
              <w:numPr>
                <w:ilvl w:val="0"/>
                <w:numId w:val="4"/>
              </w:numPr>
              <w:spacing w:lineRule="atLeast" w:line="300" w:before="0" w:after="0"/>
              <w:rPr/>
            </w:pPr>
            <w:r>
              <w:rPr>
                <w:rFonts w:cs="Calibri" w:ascii="Calibri" w:hAnsi="Calibri"/>
                <w:sz w:val="22"/>
                <w:szCs w:val="22"/>
                <w:lang w:eastAsia="en-GB"/>
              </w:rPr>
              <w:t>Play a lead role in co-production by ensuring the voices of children, young people and families inform service development and delivery.</w:t>
            </w:r>
          </w:p>
          <w:p>
            <w:pPr>
              <w:pStyle w:val="Normal"/>
              <w:numPr>
                <w:ilvl w:val="0"/>
                <w:numId w:val="4"/>
              </w:numPr>
              <w:spacing w:lineRule="atLeast" w:line="300" w:before="0" w:after="0"/>
              <w:rPr/>
            </w:pPr>
            <w:r>
              <w:rPr>
                <w:rFonts w:cs="Calibri" w:ascii="Calibri" w:hAnsi="Calibri"/>
                <w:sz w:val="22"/>
                <w:szCs w:val="22"/>
                <w:lang w:eastAsia="en-GB"/>
              </w:rPr>
              <w:t>Represent Experts at Hand at partnership boards, panels, professional networks and multi-agency forums.</w:t>
            </w:r>
          </w:p>
          <w:p>
            <w:pPr>
              <w:pStyle w:val="Normal"/>
              <w:numPr>
                <w:ilvl w:val="0"/>
                <w:numId w:val="4"/>
              </w:numPr>
              <w:spacing w:lineRule="atLeast" w:line="300" w:before="0" w:after="0"/>
              <w:rPr/>
            </w:pPr>
            <w:r>
              <w:rPr>
                <w:rFonts w:cs="Calibri" w:ascii="Calibri" w:hAnsi="Calibri"/>
                <w:sz w:val="22"/>
                <w:szCs w:val="22"/>
                <w:lang w:eastAsia="en-GB"/>
              </w:rPr>
              <w:t>Foster collaborative problem-solving and preventative approaches to support children and young people at the earliest opportunity.</w:t>
            </w:r>
          </w:p>
          <w:p>
            <w:pPr>
              <w:pStyle w:val="Normal"/>
              <w:numPr>
                <w:ilvl w:val="0"/>
                <w:numId w:val="4"/>
              </w:numPr>
              <w:spacing w:lineRule="atLeast" w:line="300" w:before="0" w:after="280"/>
              <w:rPr/>
            </w:pPr>
            <w:r>
              <w:rPr>
                <w:rFonts w:cs="Calibri" w:ascii="Calibri" w:hAnsi="Calibri"/>
                <w:sz w:val="22"/>
                <w:szCs w:val="22"/>
                <w:lang w:eastAsia="en-GB"/>
              </w:rPr>
              <w:t>Strengthen relationships with voluntary, community and third-sector organisations to enhance support pathways for families.</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Team Development and Leadership</w:t>
            </w:r>
          </w:p>
          <w:p>
            <w:pPr>
              <w:pStyle w:val="Normal"/>
              <w:numPr>
                <w:ilvl w:val="0"/>
                <w:numId w:val="5"/>
              </w:numPr>
              <w:spacing w:lineRule="atLeast" w:line="300" w:before="280" w:after="0"/>
              <w:rPr/>
            </w:pPr>
            <w:r>
              <w:rPr>
                <w:rFonts w:cs="Calibri" w:ascii="Calibri" w:hAnsi="Calibri"/>
                <w:sz w:val="22"/>
                <w:szCs w:val="22"/>
                <w:lang w:eastAsia="en-GB"/>
              </w:rPr>
              <w:t>Lead, inspire and develop a high-performing team of specialist practitioners, promoting a culture of excellence, collaboration and continuous improvement.</w:t>
            </w:r>
          </w:p>
          <w:p>
            <w:pPr>
              <w:pStyle w:val="Normal"/>
              <w:numPr>
                <w:ilvl w:val="0"/>
                <w:numId w:val="5"/>
              </w:numPr>
              <w:spacing w:lineRule="atLeast" w:line="300" w:before="0" w:after="0"/>
              <w:rPr/>
            </w:pPr>
            <w:r>
              <w:rPr>
                <w:rFonts w:cs="Calibri" w:ascii="Calibri" w:hAnsi="Calibri"/>
                <w:sz w:val="22"/>
                <w:szCs w:val="22"/>
                <w:lang w:eastAsia="en-GB"/>
              </w:rPr>
              <w:t>Provide coaching and support to team members.</w:t>
            </w:r>
          </w:p>
          <w:p>
            <w:pPr>
              <w:pStyle w:val="Normal"/>
              <w:numPr>
                <w:ilvl w:val="0"/>
                <w:numId w:val="5"/>
              </w:numPr>
              <w:spacing w:lineRule="atLeast" w:line="300" w:before="0" w:after="0"/>
              <w:rPr/>
            </w:pPr>
            <w:r>
              <w:rPr>
                <w:rFonts w:cs="Calibri" w:ascii="Calibri" w:hAnsi="Calibri"/>
                <w:sz w:val="22"/>
                <w:szCs w:val="22"/>
                <w:lang w:eastAsia="en-GB"/>
              </w:rPr>
              <w:t>Build workforce capability across the local area through training, mentoring and dissemination of specialist knowledge and best practice.</w:t>
            </w:r>
          </w:p>
          <w:p>
            <w:pPr>
              <w:pStyle w:val="Normal"/>
              <w:numPr>
                <w:ilvl w:val="0"/>
                <w:numId w:val="5"/>
              </w:numPr>
              <w:spacing w:lineRule="atLeast" w:line="300" w:before="0" w:after="0"/>
              <w:rPr/>
            </w:pPr>
            <w:r>
              <w:rPr>
                <w:rFonts w:cs="Calibri" w:ascii="Calibri" w:hAnsi="Calibri"/>
                <w:sz w:val="22"/>
                <w:szCs w:val="22"/>
                <w:lang w:eastAsia="en-GB"/>
              </w:rPr>
              <w:t>Lead workforce planning, recruitment and retention activities to ensure a resilient and skilled service.</w:t>
            </w:r>
          </w:p>
          <w:p>
            <w:pPr>
              <w:pStyle w:val="Normal"/>
              <w:numPr>
                <w:ilvl w:val="0"/>
                <w:numId w:val="5"/>
              </w:numPr>
              <w:spacing w:lineRule="atLeast" w:line="300" w:before="0" w:after="0"/>
              <w:rPr/>
            </w:pPr>
            <w:r>
              <w:rPr>
                <w:rFonts w:cs="Calibri" w:ascii="Calibri" w:hAnsi="Calibri"/>
                <w:sz w:val="22"/>
                <w:szCs w:val="22"/>
                <w:lang w:eastAsia="en-GB"/>
              </w:rPr>
              <w:t>Promote reflective practice, innovation and continuous professional development.</w:t>
            </w:r>
          </w:p>
          <w:p>
            <w:pPr>
              <w:pStyle w:val="Normal"/>
              <w:numPr>
                <w:ilvl w:val="0"/>
                <w:numId w:val="5"/>
              </w:numPr>
              <w:spacing w:lineRule="atLeast" w:line="300" w:before="0" w:after="280"/>
              <w:rPr/>
            </w:pPr>
            <w:r>
              <w:rPr>
                <w:rFonts w:cs="Calibri" w:ascii="Calibri" w:hAnsi="Calibri"/>
                <w:sz w:val="22"/>
                <w:szCs w:val="22"/>
                <w:lang w:eastAsia="en-GB"/>
              </w:rPr>
              <w:t>Support the development of specialist expertise across education and partner agencies through targeted training and capacity-building initiatives.</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Service Improvement and Innovation</w:t>
            </w:r>
          </w:p>
          <w:p>
            <w:pPr>
              <w:pStyle w:val="Normal"/>
              <w:numPr>
                <w:ilvl w:val="0"/>
                <w:numId w:val="6"/>
              </w:numPr>
              <w:spacing w:lineRule="atLeast" w:line="300" w:before="280" w:after="0"/>
              <w:rPr/>
            </w:pPr>
            <w:r>
              <w:rPr>
                <w:rFonts w:cs="Calibri" w:ascii="Calibri" w:hAnsi="Calibri"/>
                <w:sz w:val="22"/>
                <w:szCs w:val="22"/>
                <w:lang w:eastAsia="en-GB"/>
              </w:rPr>
              <w:t xml:space="preserve">Play a significant leadership role in Tameside’s SEND Improvement journey </w:t>
            </w:r>
          </w:p>
          <w:p>
            <w:pPr>
              <w:pStyle w:val="Normal"/>
              <w:numPr>
                <w:ilvl w:val="0"/>
                <w:numId w:val="6"/>
              </w:numPr>
              <w:spacing w:lineRule="atLeast" w:line="300" w:before="0" w:after="0"/>
              <w:rPr/>
            </w:pPr>
            <w:r>
              <w:rPr>
                <w:rFonts w:cs="Calibri" w:ascii="Calibri" w:hAnsi="Calibri"/>
                <w:sz w:val="22"/>
                <w:szCs w:val="22"/>
                <w:lang w:eastAsia="en-GB"/>
              </w:rPr>
              <w:t>Identify and lead service improvement priorities through analysis of performance information, emerging trends, stakeholder feedback and best practice.</w:t>
            </w:r>
          </w:p>
          <w:p>
            <w:pPr>
              <w:pStyle w:val="Normal"/>
              <w:numPr>
                <w:ilvl w:val="0"/>
                <w:numId w:val="6"/>
              </w:numPr>
              <w:spacing w:lineRule="atLeast" w:line="300" w:before="0" w:after="0"/>
              <w:rPr/>
            </w:pPr>
            <w:r>
              <w:rPr>
                <w:rFonts w:cs="Calibri" w:ascii="Calibri" w:hAnsi="Calibri"/>
                <w:sz w:val="22"/>
                <w:szCs w:val="22"/>
                <w:lang w:eastAsia="en-GB"/>
              </w:rPr>
              <w:t>Drive measurable improvements in inclusion, early intervention and specialist support across the local area.</w:t>
            </w:r>
          </w:p>
          <w:p>
            <w:pPr>
              <w:pStyle w:val="Normal"/>
              <w:numPr>
                <w:ilvl w:val="0"/>
                <w:numId w:val="6"/>
              </w:numPr>
              <w:spacing w:lineRule="atLeast" w:line="300" w:before="0" w:after="0"/>
              <w:rPr/>
            </w:pPr>
            <w:r>
              <w:rPr>
                <w:rFonts w:cs="Calibri" w:ascii="Calibri" w:hAnsi="Calibri"/>
                <w:sz w:val="22"/>
                <w:szCs w:val="22"/>
                <w:lang w:eastAsia="en-GB"/>
              </w:rPr>
              <w:t>Work collaboratively with partners to develop innovative approaches that improve outcomes and reduce barriers to learning and participation.</w:t>
            </w:r>
          </w:p>
          <w:p>
            <w:pPr>
              <w:pStyle w:val="Normal"/>
              <w:numPr>
                <w:ilvl w:val="0"/>
                <w:numId w:val="6"/>
              </w:numPr>
              <w:spacing w:lineRule="atLeast" w:line="300" w:before="0" w:after="0"/>
              <w:rPr/>
            </w:pPr>
            <w:r>
              <w:rPr>
                <w:rFonts w:cs="Calibri" w:ascii="Calibri" w:hAnsi="Calibri"/>
                <w:sz w:val="22"/>
                <w:szCs w:val="22"/>
                <w:lang w:eastAsia="en-GB"/>
              </w:rPr>
              <w:t>Promote the effective use of evidence-informed practice and research in service delivery.</w:t>
            </w:r>
          </w:p>
          <w:p>
            <w:pPr>
              <w:pStyle w:val="Normal"/>
              <w:numPr>
                <w:ilvl w:val="0"/>
                <w:numId w:val="6"/>
              </w:numPr>
              <w:spacing w:lineRule="atLeast" w:line="300" w:before="0" w:after="0"/>
              <w:rPr/>
            </w:pPr>
            <w:r>
              <w:rPr>
                <w:rFonts w:cs="Calibri" w:ascii="Calibri" w:hAnsi="Calibri"/>
                <w:sz w:val="22"/>
                <w:szCs w:val="22"/>
                <w:lang w:eastAsia="en-GB"/>
              </w:rPr>
              <w:t>Support digital transformation, service redesign and new models of delivery that enhance accessibility and responsiveness.</w:t>
            </w:r>
          </w:p>
          <w:p>
            <w:pPr>
              <w:pStyle w:val="Normal"/>
              <w:numPr>
                <w:ilvl w:val="0"/>
                <w:numId w:val="6"/>
              </w:numPr>
              <w:spacing w:lineRule="atLeast" w:line="300" w:before="0" w:after="280"/>
              <w:rPr/>
            </w:pPr>
            <w:r>
              <w:rPr>
                <w:rFonts w:cs="Calibri" w:ascii="Calibri" w:hAnsi="Calibri"/>
                <w:sz w:val="22"/>
                <w:szCs w:val="22"/>
                <w:lang w:eastAsia="en-GB"/>
              </w:rPr>
              <w:t>Evaluate service impact and use findings to inform strategic planning and future development.</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Quality Assurance and Accountability</w:t>
            </w:r>
          </w:p>
          <w:p>
            <w:pPr>
              <w:pStyle w:val="Normal"/>
              <w:numPr>
                <w:ilvl w:val="0"/>
                <w:numId w:val="7"/>
              </w:numPr>
              <w:spacing w:lineRule="atLeast" w:line="300" w:before="280" w:after="0"/>
              <w:rPr/>
            </w:pPr>
            <w:r>
              <w:rPr>
                <w:rFonts w:cs="Calibri" w:ascii="Calibri" w:hAnsi="Calibri"/>
                <w:sz w:val="22"/>
                <w:szCs w:val="22"/>
                <w:lang w:eastAsia="en-GB"/>
              </w:rPr>
              <w:t>Ensure all service activity is delivered in line with relevant legislation, statutory guidance, professional standards and local policies.</w:t>
            </w:r>
          </w:p>
          <w:p>
            <w:pPr>
              <w:pStyle w:val="Normal"/>
              <w:numPr>
                <w:ilvl w:val="0"/>
                <w:numId w:val="7"/>
              </w:numPr>
              <w:spacing w:lineRule="atLeast" w:line="300" w:before="0" w:after="0"/>
              <w:rPr/>
            </w:pPr>
            <w:r>
              <w:rPr>
                <w:rFonts w:cs="Calibri" w:ascii="Calibri" w:hAnsi="Calibri"/>
                <w:sz w:val="22"/>
                <w:szCs w:val="22"/>
                <w:lang w:eastAsia="en-GB"/>
              </w:rPr>
              <w:t>Maintain a strong safeguarding culture across the service, ensuring concerns are identified and addressed appropriately.</w:t>
            </w:r>
          </w:p>
          <w:p>
            <w:pPr>
              <w:pStyle w:val="Normal"/>
              <w:numPr>
                <w:ilvl w:val="0"/>
                <w:numId w:val="7"/>
              </w:numPr>
              <w:spacing w:lineRule="atLeast" w:line="300" w:before="0" w:after="0"/>
              <w:rPr/>
            </w:pPr>
            <w:r>
              <w:rPr>
                <w:rFonts w:cs="Calibri" w:ascii="Calibri" w:hAnsi="Calibri"/>
                <w:sz w:val="22"/>
                <w:szCs w:val="22"/>
                <w:lang w:eastAsia="en-GB"/>
              </w:rPr>
              <w:t>Oversee quality assurance systems that monitor the effectiveness and impact of specialist advice and intervention.</w:t>
            </w:r>
          </w:p>
          <w:p>
            <w:pPr>
              <w:pStyle w:val="Normal"/>
              <w:numPr>
                <w:ilvl w:val="0"/>
                <w:numId w:val="7"/>
              </w:numPr>
              <w:spacing w:lineRule="atLeast" w:line="300" w:before="0" w:after="0"/>
              <w:rPr/>
            </w:pPr>
            <w:r>
              <w:rPr>
                <w:rFonts w:cs="Calibri" w:ascii="Calibri" w:hAnsi="Calibri"/>
                <w:sz w:val="22"/>
                <w:szCs w:val="22"/>
                <w:lang w:eastAsia="en-GB"/>
              </w:rPr>
              <w:t>Produce clear, evidence-based reports on service performance, outcomes and improvement activity.</w:t>
            </w:r>
          </w:p>
          <w:p>
            <w:pPr>
              <w:pStyle w:val="Normal"/>
              <w:numPr>
                <w:ilvl w:val="0"/>
                <w:numId w:val="7"/>
              </w:numPr>
              <w:spacing w:lineRule="atLeast" w:line="300" w:before="0" w:after="0"/>
              <w:rPr/>
            </w:pPr>
            <w:r>
              <w:rPr>
                <w:rFonts w:cs="Calibri" w:ascii="Calibri" w:hAnsi="Calibri"/>
                <w:sz w:val="22"/>
                <w:szCs w:val="22"/>
                <w:lang w:eastAsia="en-GB"/>
              </w:rPr>
              <w:t>Contribute to local area inspection readiness, demonstrating the impact of Experts at Hand within the wider SEND system.</w:t>
            </w:r>
          </w:p>
          <w:p>
            <w:pPr>
              <w:pStyle w:val="Normal"/>
              <w:numPr>
                <w:ilvl w:val="0"/>
                <w:numId w:val="7"/>
              </w:numPr>
              <w:spacing w:lineRule="atLeast" w:line="300" w:before="0" w:after="280"/>
              <w:rPr/>
            </w:pPr>
            <w:r>
              <w:rPr>
                <w:rFonts w:cs="Calibri" w:ascii="Calibri" w:hAnsi="Calibri"/>
                <w:sz w:val="22"/>
                <w:szCs w:val="22"/>
                <w:lang w:eastAsia="en-GB"/>
              </w:rPr>
              <w:t>Proactively identify and manage risks, escalating issues appropriately and ensuring effective mitigation plans are in place.</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General</w:t>
            </w:r>
          </w:p>
          <w:p>
            <w:pPr>
              <w:pStyle w:val="Normal"/>
              <w:numPr>
                <w:ilvl w:val="0"/>
                <w:numId w:val="8"/>
              </w:numPr>
              <w:spacing w:lineRule="atLeast" w:line="300" w:before="280" w:after="0"/>
              <w:rPr/>
            </w:pPr>
            <w:r>
              <w:rPr>
                <w:rFonts w:cs="Calibri" w:ascii="Calibri" w:hAnsi="Calibri"/>
                <w:sz w:val="22"/>
                <w:szCs w:val="22"/>
                <w:lang w:eastAsia="en-GB"/>
              </w:rPr>
              <w:t>Undertake any other duties commensurate with the grade and nature of the role.</w:t>
            </w:r>
          </w:p>
          <w:p>
            <w:pPr>
              <w:pStyle w:val="Normal"/>
              <w:numPr>
                <w:ilvl w:val="0"/>
                <w:numId w:val="8"/>
              </w:numPr>
              <w:spacing w:lineRule="atLeast" w:line="300" w:before="0" w:after="280"/>
              <w:rPr/>
            </w:pPr>
            <w:r>
              <w:rPr>
                <w:rFonts w:cs="Calibri" w:ascii="Calibri" w:hAnsi="Calibri"/>
                <w:sz w:val="22"/>
                <w:szCs w:val="22"/>
                <w:lang w:eastAsia="en-GB"/>
              </w:rPr>
              <w:t>Responsibilities may evolve over time in response to service development, local priorities and national SEND reform, without changing the core purpose of the post.</w:t>
            </w:r>
          </w:p>
          <w:p>
            <w:pPr>
              <w:pStyle w:val="Normal"/>
              <w:spacing w:lineRule="auto" w:line="240" w:before="0" w:after="0"/>
              <w:rPr>
                <w:rFonts w:ascii="Calibri" w:hAnsi="Calibri" w:eastAsia="Calibri" w:cs="Calibri"/>
                <w:sz w:val="22"/>
                <w:szCs w:val="22"/>
              </w:rPr>
            </w:pPr>
            <w:r>
              <w:rPr>
                <w:rFonts w:eastAsia="Calibri" w:cs="Calibri" w:ascii="Calibri" w:hAnsi="Calibri"/>
                <w:sz w:val="22"/>
                <w:szCs w:val="22"/>
              </w:rPr>
            </w:r>
          </w:p>
        </w:tc>
      </w:tr>
    </w:tbl>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r>
    </w:p>
    <w:p>
      <w:pPr>
        <w:pStyle w:val="Normal"/>
        <w:spacing w:lineRule="auto" w:line="276"/>
        <w:jc w:val="both"/>
        <w:rPr>
          <w:rFonts w:ascii="Calibri" w:hAnsi="Calibri" w:eastAsia="Calibri" w:cs="Calibri"/>
          <w:b/>
          <w:sz w:val="22"/>
          <w:szCs w:val="22"/>
        </w:rPr>
      </w:pPr>
      <w:r>
        <w:rPr>
          <w:rFonts w:eastAsia="Calibri" w:cs="Calibri" w:ascii="Calibri" w:hAnsi="Calibri"/>
          <w:b/>
          <w:sz w:val="22"/>
          <w:szCs w:val="22"/>
        </w:rPr>
        <w:drawing>
          <wp:anchor behindDoc="1" distT="0" distB="0" distL="114300" distR="114300" simplePos="0" locked="0" layoutInCell="0" allowOverlap="1" relativeHeight="4">
            <wp:simplePos x="0" y="0"/>
            <wp:positionH relativeFrom="margin">
              <wp:posOffset>-511810</wp:posOffset>
            </wp:positionH>
            <wp:positionV relativeFrom="margin">
              <wp:posOffset>-702310</wp:posOffset>
            </wp:positionV>
            <wp:extent cx="7117080" cy="64706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23374" t="84926" r="25679" b="6777"/>
                    <a:stretch>
                      <a:fillRect/>
                    </a:stretch>
                  </pic:blipFill>
                  <pic:spPr bwMode="auto">
                    <a:xfrm>
                      <a:off x="0" y="0"/>
                      <a:ext cx="7117080" cy="647065"/>
                    </a:xfrm>
                    <a:prstGeom prst="rect">
                      <a:avLst/>
                    </a:prstGeom>
                  </pic:spPr>
                </pic:pic>
              </a:graphicData>
            </a:graphic>
          </wp:anchor>
        </w:drawing>
      </w:r>
    </w:p>
    <w:tbl>
      <w:tblPr>
        <w:tblW w:w="9758" w:type="dxa"/>
        <w:jc w:val="left"/>
        <w:tblInd w:w="108" w:type="dxa"/>
        <w:tblLayout w:type="fixed"/>
        <w:tblCellMar>
          <w:top w:w="0" w:type="dxa"/>
          <w:left w:w="108" w:type="dxa"/>
          <w:bottom w:w="0" w:type="dxa"/>
          <w:right w:w="108" w:type="dxa"/>
        </w:tblCellMar>
      </w:tblPr>
      <w:tblGrid>
        <w:gridCol w:w="9758"/>
      </w:tblGrid>
      <w:tr>
        <w:trPr>
          <w:trHeight w:val="265" w:hRule="atLeast"/>
        </w:trPr>
        <w:tc>
          <w:tcPr>
            <w:tcW w:w="9758"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Calibri" w:hAnsi="Calibri" w:eastAsia="Calibri" w:cs="Calibri"/>
                <w:b/>
                <w:sz w:val="22"/>
                <w:szCs w:val="22"/>
              </w:rPr>
            </w:pPr>
            <w:r>
              <w:rPr>
                <w:rFonts w:eastAsia="Calibri" w:cs="Calibri" w:ascii="Calibri" w:hAnsi="Calibri"/>
                <w:b/>
                <w:sz w:val="22"/>
                <w:szCs w:val="22"/>
              </w:rPr>
              <w:t>About you</w:t>
            </w:r>
          </w:p>
          <w:p>
            <w:pPr>
              <w:pStyle w:val="Normal"/>
              <w:spacing w:lineRule="auto" w:line="240" w:before="0" w:after="0"/>
              <w:rPr>
                <w:rFonts w:ascii="Calibri" w:hAnsi="Calibri" w:eastAsia="Calibri" w:cs="Calibri"/>
                <w:b/>
                <w:sz w:val="22"/>
                <w:szCs w:val="22"/>
              </w:rPr>
            </w:pPr>
            <w:r>
              <w:rPr>
                <w:rFonts w:eastAsia="Calibri" w:cs="Calibri" w:ascii="Calibri" w:hAnsi="Calibri"/>
                <w:b/>
                <w:sz w:val="22"/>
                <w:szCs w:val="22"/>
              </w:rPr>
            </w:r>
          </w:p>
        </w:tc>
      </w:tr>
      <w:tr>
        <w:trPr>
          <w:trHeight w:val="3931" w:hRule="atLeast"/>
        </w:trPr>
        <w:tc>
          <w:tcPr>
            <w:tcW w:w="9758" w:type="dxa"/>
            <w:tcBorders>
              <w:top w:val="single" w:sz="18" w:space="0" w:color="70AD47"/>
              <w:left w:val="single" w:sz="18" w:space="0" w:color="70AD47"/>
              <w:bottom w:val="single" w:sz="18" w:space="0" w:color="70AD47"/>
              <w:right w:val="single" w:sz="18" w:space="0" w:color="70AD47"/>
            </w:tcBorders>
          </w:tcPr>
          <w:p>
            <w:pPr>
              <w:pStyle w:val="Normal"/>
              <w:numPr>
                <w:ilvl w:val="0"/>
                <w:numId w:val="0"/>
              </w:numPr>
              <w:spacing w:lineRule="atLeast" w:line="300" w:before="0" w:after="280"/>
              <w:ind w:hanging="0" w:left="0"/>
              <w:rPr>
                <w:rFonts w:ascii="Calibri" w:hAnsi="Calibri" w:cs="Calibri"/>
                <w:b/>
                <w:bCs/>
                <w:sz w:val="22"/>
                <w:szCs w:val="22"/>
                <w:lang w:eastAsia="en-GB"/>
              </w:rPr>
            </w:pPr>
            <w:r>
              <w:rPr>
                <w:rFonts w:cs="Calibri" w:ascii="Calibri" w:hAnsi="Calibri"/>
                <w:b/>
                <w:bCs/>
                <w:sz w:val="22"/>
                <w:szCs w:val="22"/>
                <w:lang w:eastAsia="en-GB"/>
              </w:rPr>
              <w:t>Your Essential Qualifications</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Educated to degree level. (E)</w:t>
            </w:r>
            <w:r>
              <w:rPr/>
              <w:br/>
            </w:r>
            <w:r>
              <w:rPr>
                <w:rFonts w:cs="Calibri" w:ascii="Calibri" w:hAnsi="Calibri"/>
                <w:sz w:val="22"/>
                <w:szCs w:val="22"/>
                <w:lang w:eastAsia="en-GB"/>
              </w:rPr>
              <w:t>• Professional qualification in a related discipline (e.g. education, health, or social care), with relevance to SEND, statutory practice and system improvement. (E)</w:t>
            </w:r>
            <w:r>
              <w:rPr/>
              <w:br/>
            </w:r>
            <w:r>
              <w:rPr>
                <w:rFonts w:cs="Calibri" w:ascii="Calibri" w:hAnsi="Calibri"/>
                <w:sz w:val="22"/>
                <w:szCs w:val="22"/>
                <w:lang w:eastAsia="en-GB"/>
              </w:rPr>
              <w:t>• Evidence of continuous professional development (CPD), including SEND legislation, statutory processes and developments linked to SEND reform. (E)</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Your Essential Skills, Knowledge, and Experience</w:t>
            </w:r>
          </w:p>
          <w:p>
            <w:pPr>
              <w:pStyle w:val="Normal"/>
              <w:spacing w:lineRule="atLeast" w:line="300" w:before="280" w:after="280"/>
              <w:rPr>
                <w:rFonts w:ascii="Calibri" w:hAnsi="Calibri" w:cs="Calibri"/>
                <w:sz w:val="22"/>
                <w:szCs w:val="22"/>
                <w:lang w:eastAsia="en-GB"/>
              </w:rPr>
            </w:pPr>
            <w:r>
              <w:rPr>
                <w:rFonts w:cs="Calibri" w:ascii="Calibri" w:hAnsi="Calibri"/>
                <w:sz w:val="22"/>
                <w:szCs w:val="22"/>
                <w:lang w:eastAsia="en-GB"/>
              </w:rPr>
              <w:t>Evidence of successfully managing SEND services or elements of a service within an improvement or change context, including experience of statutory SEND processes (e.g. EHC needs assessments, EHCPs or annual reviews).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Proven experience of providing clear direction and strategic vision to secure service excellence and improvement, particularly within statutory SEND provision.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Demonstrated ability to provide effective, visible and credible leadership to teams of professionals, including those delivering statutory casework, within a changing service environment.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 proven track record of delivering service improvement and programme implementation, including experience of planning and budget/financial management, ideally linked to SEND or High Needs funding.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Evidence of CPD relating to strategic leadership, change management and system improvement, staying at the leading edge of professional practice and applying this within statutory SEND services.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planning and managing work programmes to meet service objectives at pace, ensuring quality, value for money and delivery against statutory timescales.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fulfil all spoken aspects of the role with confidence through the medium of English (or Welsh, in applicable areas).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working across organisational boundaries to support other practitioners, including multi-agency and outreach work linked to SEND casework and improvement activity.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Thorough, up-to-date knowledge of relevant legislation (particularly related to SEND Reform), statutory guidance (including the SEND Code of Practice), and local authority SEND procedures, with an understanding of their application within a reform and improvement context.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lead and manage at a strategic level, champion new initiatives, and design, implement and embed change successfully within a statutory SEND and transformation context.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make informed and timely decisions based on complex information from a range of sources, including multi-agency advice used within EHCP processes.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Strong communication skills, including verbal and non-verbal techniques, with the ability to influence a wide range of stakeholders involved in statutory processes and system change.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Flexible and resilient approach, with the ability to plan, organise and prioritise a demanding workload, delivering multiple and competing priorities, including statutory deadlines and improvement milestones.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Proven ability to influence practice in schools and other educational settings, particularly in relation to SEND provision, delivery of EHCP outcomes and system improvement.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High-quality, professional writing skills, including the ability to contribute to or oversee statutory documentation and improvement reporting.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Excellent oral communication skills, including confident participation in multi-agency discussions, panels and strategic forums.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build strong partnerships, influence across systems and work collaboratively to achieve service, council and local area SEND priorities, including effective multi-agency working.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provide SEND practitioners with a clear vision and direction, generating commitment to improvement and securing change through engagement with staff, families and partners.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promote a positive and credible image of the service locally and nationally, strengthening confidence in statutory SEND services and the wider improvement journey.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Knowledge of risk management principles in relation to children and young people, including within statutory SEND casework and service transformation.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work collaboratively across teams and services, developing and sustaining partnerships with education, health and care professionals. (E)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using stakeholder feedback to inform and drive continuous service improvement, including improvements to statutory SEND processes and user experience. (D)</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managing and delivering a traded service offer. (D)</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 good understanding of the legal, political, operational, commercial and social context of a complex local authority environment, including SEND statutory systems and reform priorities. (D)</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Ability to take a whole-system view, joining up initiatives and delivering coherent service improvements aligned to SEND reform and inspection outcomes. (D)</w:t>
            </w:r>
          </w:p>
          <w:p>
            <w:pPr>
              <w:pStyle w:val="Normal"/>
              <w:numPr>
                <w:ilvl w:val="0"/>
                <w:numId w:val="0"/>
              </w:numPr>
              <w:spacing w:lineRule="atLeast" w:line="300" w:before="280" w:after="280"/>
              <w:ind w:hanging="0" w:left="0"/>
              <w:rPr>
                <w:rFonts w:ascii="Calibri" w:hAnsi="Calibri" w:cs="Calibri"/>
                <w:b/>
                <w:bCs/>
                <w:sz w:val="22"/>
                <w:szCs w:val="22"/>
                <w:lang w:eastAsia="en-GB"/>
              </w:rPr>
            </w:pPr>
            <w:r>
              <w:rPr>
                <w:rFonts w:cs="Calibri" w:ascii="Calibri" w:hAnsi="Calibri"/>
                <w:b/>
                <w:bCs/>
                <w:sz w:val="22"/>
                <w:szCs w:val="22"/>
                <w:lang w:eastAsia="en-GB"/>
              </w:rPr>
              <w:t>If You Have the Following Experience or Qualifications – Then That’s Great!</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A postgraduate qualification in a related field (e.g., SEND, education leadership, social care or strategic leadership).</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developing or leading a traded service offer for SEND.</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leading or contributing to large-scale SEND improvement and transformation programmes, delivering measurable outcomes for children and young people.</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Experience of shaping and implementing innovative practices to address complex SEND challenges, including multi-agency and system-wide approaches.</w:t>
            </w:r>
          </w:p>
          <w:p>
            <w:pPr>
              <w:pStyle w:val="Normal"/>
              <w:spacing w:lineRule="atLeast" w:line="300" w:before="280" w:after="280"/>
              <w:rPr/>
            </w:pPr>
            <w:r>
              <w:rPr>
                <w:rFonts w:cs="Calibri" w:ascii="Calibri" w:hAnsi="Calibri"/>
                <w:sz w:val="22"/>
                <w:szCs w:val="22"/>
                <w:lang w:eastAsia="en-GB"/>
              </w:rPr>
              <w:t>•</w:t>
            </w:r>
            <w:r>
              <w:rPr>
                <w:rFonts w:eastAsia="Calibri" w:cs="Calibri" w:ascii="Calibri" w:hAnsi="Calibri"/>
                <w:sz w:val="22"/>
                <w:szCs w:val="22"/>
                <w:lang w:eastAsia="en-GB"/>
              </w:rPr>
              <w:t xml:space="preserve"> </w:t>
            </w:r>
            <w:r>
              <w:rPr>
                <w:rFonts w:cs="Calibri" w:ascii="Calibri" w:hAnsi="Calibri"/>
                <w:sz w:val="22"/>
                <w:szCs w:val="22"/>
                <w:lang w:eastAsia="en-GB"/>
              </w:rPr>
              <w:t>Knowledge of digital tools and systems used to enhance SEND service delivery, performance monitoring and EHCP management.</w:t>
            </w:r>
          </w:p>
          <w:p>
            <w:pPr>
              <w:pStyle w:val="Normal"/>
              <w:spacing w:lineRule="auto" w:line="240" w:before="0" w:after="0"/>
              <w:rPr>
                <w:rFonts w:ascii="Calibri" w:hAnsi="Calibri" w:eastAsia="Calibri" w:cs="Calibri"/>
                <w:b/>
                <w:sz w:val="22"/>
                <w:szCs w:val="22"/>
              </w:rPr>
            </w:pPr>
            <w:r>
              <w:rPr>
                <w:rFonts w:eastAsia="Calibri" w:cs="Calibri" w:ascii="Calibri" w:hAnsi="Calibri"/>
                <w:b/>
                <w:sz w:val="22"/>
                <w:szCs w:val="22"/>
              </w:rPr>
            </w:r>
          </w:p>
        </w:tc>
      </w:tr>
    </w:tbl>
    <w:p>
      <w:pPr>
        <w:pStyle w:val="Normal"/>
        <w:tabs>
          <w:tab w:val="clear" w:pos="720"/>
          <w:tab w:val="center" w:pos="4513" w:leader="none"/>
          <w:tab w:val="right" w:pos="9026" w:leader="none"/>
        </w:tabs>
        <w:jc w:val="center"/>
        <w:rPr>
          <w:rFonts w:ascii="Calibri" w:hAnsi="Calibri" w:eastAsia="Calibri" w:cs="Calibri"/>
          <w:b/>
          <w:sz w:val="22"/>
          <w:szCs w:val="22"/>
        </w:rPr>
      </w:pPr>
      <w:r>
        <w:rPr>
          <w:rFonts w:eastAsia="Calibri" w:cs="Calibri" w:ascii="Calibri" w:hAnsi="Calibri"/>
          <w:b/>
          <w:sz w:val="22"/>
          <w:szCs w:val="22"/>
        </w:rPr>
        <w:t>Our employees’ skills, experience and knowledge are essential to our success along with their happiness, commitment, enthusiasm and motivation to be the best they can be.</w:t>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mc:AlternateContent>
          <mc:Choice Requires="wps">
            <w:drawing>
              <wp:anchor behindDoc="0" distT="0" distB="0" distL="114935" distR="114935" simplePos="0" locked="0" layoutInCell="1" allowOverlap="1" relativeHeight="13">
                <wp:simplePos x="0" y="0"/>
                <wp:positionH relativeFrom="column">
                  <wp:posOffset>838200</wp:posOffset>
                </wp:positionH>
                <wp:positionV relativeFrom="paragraph">
                  <wp:posOffset>92075</wp:posOffset>
                </wp:positionV>
                <wp:extent cx="4619625" cy="1943100"/>
                <wp:effectExtent l="12700" t="12700" r="12700" b="12700"/>
                <wp:wrapNone/>
                <wp:docPr id="5" name=""/>
                <a:graphic xmlns:a="http://schemas.openxmlformats.org/drawingml/2006/main">
                  <a:graphicData uri="http://schemas.microsoft.com/office/word/2010/wordprocessingShape">
                    <wps:wsp>
                      <wps:cNvSpPr txBox="1"/>
                      <wps:spPr>
                        <a:xfrm>
                          <a:off x="0" y="0"/>
                          <a:ext cx="461952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o:allowincell="f" style="position:absolute;margin-left:66pt;margin-top:7.25pt;width:363.7pt;height:152.9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6600" opacity="0.44"/>
                <v:stroke color="#ff0066" weight="25560" joinstyle="round" endcap="flat"/>
                <w10:wrap type="none"/>
              </v:shape>
            </w:pict>
          </mc:Fallback>
        </mc:AlternateContent>
      </w:r>
      <w:r>
        <mc:AlternateContent>
          <mc:Choice Requires="wps">
            <w:drawing>
              <wp:anchor behindDoc="0" distT="72390" distB="72390" distL="0" distR="28575" simplePos="0" locked="0" layoutInCell="1" allowOverlap="1" relativeHeight="15">
                <wp:simplePos x="0" y="0"/>
                <wp:positionH relativeFrom="column">
                  <wp:posOffset>838200</wp:posOffset>
                </wp:positionH>
                <wp:positionV relativeFrom="paragraph">
                  <wp:posOffset>92075</wp:posOffset>
                </wp:positionV>
                <wp:extent cx="4619625" cy="1943100"/>
                <wp:effectExtent l="0" t="0" r="0" b="0"/>
                <wp:wrapNone/>
                <wp:docPr id="6" name="Frame2"/>
                <a:graphic xmlns:a="http://schemas.openxmlformats.org/drawingml/2006/main">
                  <a:graphicData uri="http://schemas.microsoft.com/office/word/2010/wordprocessingShape">
                    <wps:wsp>
                      <wps:cNvSpPr txBox="1"/>
                      <wps:spPr>
                        <a:xfrm>
                          <a:off x="0" y="0"/>
                          <a:ext cx="4619625" cy="1943100"/>
                        </a:xfrm>
                        <a:prstGeom prst="rect"/>
                        <a:solidFill>
                          <a:srgbClr val="FFFFFF"/>
                        </a:solidFill>
                      </wps:spPr>
                      <wps:txbx>
                        <w:txbxContent>
                          <w:p>
                            <w:pPr>
                              <w:pStyle w:val="FrameContents"/>
                              <w:spacing w:before="0" w:after="280"/>
                              <w:textAlignment w:val="top"/>
                              <w:rPr>
                                <w:rFonts w:ascii="Arial" w:hAnsi="Arial" w:cs="Arial"/>
                                <w:b/>
                                <w:bCs/>
                                <w:lang w:eastAsia="en-GB"/>
                              </w:rPr>
                            </w:pPr>
                            <w:r>
                              <w:rPr>
                                <w:rFonts w:cs="Arial" w:ascii="Arial" w:hAnsi="Arial"/>
                                <w:b/>
                                <w:bCs/>
                                <w:lang w:eastAsia="en-GB"/>
                              </w:rPr>
                              <w:t>What can you expect from us?</w:t>
                            </w:r>
                          </w:p>
                          <w:p>
                            <w:pPr>
                              <w:pStyle w:val="FrameContents"/>
                              <w:numPr>
                                <w:ilvl w:val="0"/>
                                <w:numId w:val="1"/>
                              </w:numPr>
                              <w:spacing w:before="280" w:after="0"/>
                              <w:textAlignment w:val="top"/>
                              <w:rPr/>
                            </w:pPr>
                            <w:r>
                              <w:rPr>
                                <w:rFonts w:cs="Arial" w:ascii="Arial" w:hAnsi="Arial"/>
                                <w:lang w:eastAsia="en-GB"/>
                              </w:rPr>
                              <w:t>A fair salary and benefits</w:t>
                            </w:r>
                          </w:p>
                          <w:p>
                            <w:pPr>
                              <w:pStyle w:val="FrameContents"/>
                              <w:numPr>
                                <w:ilvl w:val="0"/>
                                <w:numId w:val="1"/>
                              </w:numPr>
                              <w:spacing w:before="0" w:after="0"/>
                              <w:textAlignment w:val="top"/>
                              <w:rPr/>
                            </w:pPr>
                            <w:r>
                              <w:rPr>
                                <w:rFonts w:cs="Arial" w:ascii="Arial" w:hAnsi="Arial"/>
                                <w:lang w:eastAsia="en-GB"/>
                              </w:rPr>
                              <w:t>Opportunities for good health and wellbeing</w:t>
                            </w:r>
                          </w:p>
                          <w:p>
                            <w:pPr>
                              <w:pStyle w:val="FrameContents"/>
                              <w:numPr>
                                <w:ilvl w:val="0"/>
                                <w:numId w:val="1"/>
                              </w:numPr>
                              <w:spacing w:before="0" w:after="0"/>
                              <w:textAlignment w:val="top"/>
                              <w:rPr/>
                            </w:pPr>
                            <w:r>
                              <w:rPr>
                                <w:rFonts w:cs="Arial" w:ascii="Arial" w:hAnsi="Arial"/>
                                <w:lang w:eastAsia="en-GB"/>
                              </w:rPr>
                              <w:t>Help you to grow, develop and to do your best</w:t>
                            </w:r>
                          </w:p>
                          <w:p>
                            <w:pPr>
                              <w:pStyle w:val="FrameContents"/>
                              <w:numPr>
                                <w:ilvl w:val="0"/>
                                <w:numId w:val="1"/>
                              </w:numPr>
                              <w:spacing w:before="0" w:after="0"/>
                              <w:textAlignment w:val="top"/>
                              <w:rPr/>
                            </w:pPr>
                            <w:r>
                              <w:rPr>
                                <w:rFonts w:cs="Arial" w:ascii="Arial" w:hAnsi="Arial"/>
                                <w:lang w:eastAsia="en-GB"/>
                              </w:rPr>
                              <w:t>Enable you to be creative and innovative</w:t>
                            </w:r>
                          </w:p>
                          <w:p>
                            <w:pPr>
                              <w:pStyle w:val="FrameContents"/>
                              <w:numPr>
                                <w:ilvl w:val="0"/>
                                <w:numId w:val="1"/>
                              </w:numPr>
                              <w:spacing w:before="0" w:after="0"/>
                              <w:textAlignment w:val="top"/>
                              <w:rPr/>
                            </w:pPr>
                            <w:r>
                              <w:rPr>
                                <w:rFonts w:cs="Arial" w:ascii="Arial" w:hAnsi="Arial"/>
                                <w:lang w:eastAsia="en-GB"/>
                              </w:rPr>
                              <w:t>Fully involve you in changes that affect you and your work</w:t>
                            </w:r>
                          </w:p>
                          <w:p>
                            <w:pPr>
                              <w:pStyle w:val="FrameContents"/>
                              <w:numPr>
                                <w:ilvl w:val="0"/>
                                <w:numId w:val="1"/>
                              </w:numPr>
                              <w:spacing w:before="0" w:after="280"/>
                              <w:textAlignment w:val="top"/>
                              <w:rPr/>
                            </w:pPr>
                            <w:r>
                              <w:rPr>
                                <w:rFonts w:cs="Arial" w:ascii="Arial" w:hAnsi="Arial"/>
                                <w:lang w:eastAsia="en-GB"/>
                              </w:rPr>
                              <w:t>Listen, and act on your ideas and feedback</w:t>
                            </w:r>
                          </w:p>
                          <w:p>
                            <w:pPr>
                              <w:pStyle w:val="FrameContents"/>
                              <w:spacing w:before="280" w:after="0"/>
                              <w:textAlignment w:val="top"/>
                              <w:rPr>
                                <w:rFonts w:ascii="Arial" w:hAnsi="Arial" w:cs="Arial"/>
                                <w:b/>
                                <w:lang w:eastAsia="en-GB"/>
                              </w:rPr>
                            </w:pPr>
                            <w:r>
                              <w:rPr>
                                <w:rFonts w:cs="Arial" w:ascii="Arial" w:hAnsi="Arial"/>
                                <w:b/>
                                <w:lang w:eastAsia="en-GB"/>
                              </w:rPr>
                              <w:t xml:space="preserve">Working together, we are proud to work for Tameside </w:t>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363.75pt;height:153pt;mso-wrap-distance-left:0pt;mso-wrap-distance-right:2.25pt;mso-wrap-distance-top:5.7pt;mso-wrap-distance-bottom:5.7pt;margin-top:7.25pt;mso-position-vertical-relative:text;margin-left:66pt;mso-position-horizontal-relative:text">
                <v:textbox inset="0.100694444444444in,0.0506944444444444in,0.100694444444444in,0.0506944444444444in">
                  <w:txbxContent>
                    <w:p>
                      <w:pPr>
                        <w:pStyle w:val="FrameContents"/>
                        <w:spacing w:before="0" w:after="280"/>
                        <w:textAlignment w:val="top"/>
                        <w:rPr>
                          <w:rFonts w:ascii="Arial" w:hAnsi="Arial" w:cs="Arial"/>
                          <w:b/>
                          <w:bCs/>
                          <w:lang w:eastAsia="en-GB"/>
                        </w:rPr>
                      </w:pPr>
                      <w:r>
                        <w:rPr>
                          <w:rFonts w:cs="Arial" w:ascii="Arial" w:hAnsi="Arial"/>
                          <w:b/>
                          <w:bCs/>
                          <w:lang w:eastAsia="en-GB"/>
                        </w:rPr>
                        <w:t>What can you expect from us?</w:t>
                      </w:r>
                    </w:p>
                    <w:p>
                      <w:pPr>
                        <w:pStyle w:val="FrameContents"/>
                        <w:numPr>
                          <w:ilvl w:val="0"/>
                          <w:numId w:val="1"/>
                        </w:numPr>
                        <w:spacing w:before="280" w:after="0"/>
                        <w:textAlignment w:val="top"/>
                        <w:rPr/>
                      </w:pPr>
                      <w:r>
                        <w:rPr>
                          <w:rFonts w:cs="Arial" w:ascii="Arial" w:hAnsi="Arial"/>
                          <w:lang w:eastAsia="en-GB"/>
                        </w:rPr>
                        <w:t>A fair salary and benefits</w:t>
                      </w:r>
                    </w:p>
                    <w:p>
                      <w:pPr>
                        <w:pStyle w:val="FrameContents"/>
                        <w:numPr>
                          <w:ilvl w:val="0"/>
                          <w:numId w:val="1"/>
                        </w:numPr>
                        <w:spacing w:before="0" w:after="0"/>
                        <w:textAlignment w:val="top"/>
                        <w:rPr/>
                      </w:pPr>
                      <w:r>
                        <w:rPr>
                          <w:rFonts w:cs="Arial" w:ascii="Arial" w:hAnsi="Arial"/>
                          <w:lang w:eastAsia="en-GB"/>
                        </w:rPr>
                        <w:t>Opportunities for good health and wellbeing</w:t>
                      </w:r>
                    </w:p>
                    <w:p>
                      <w:pPr>
                        <w:pStyle w:val="FrameContents"/>
                        <w:numPr>
                          <w:ilvl w:val="0"/>
                          <w:numId w:val="1"/>
                        </w:numPr>
                        <w:spacing w:before="0" w:after="0"/>
                        <w:textAlignment w:val="top"/>
                        <w:rPr/>
                      </w:pPr>
                      <w:r>
                        <w:rPr>
                          <w:rFonts w:cs="Arial" w:ascii="Arial" w:hAnsi="Arial"/>
                          <w:lang w:eastAsia="en-GB"/>
                        </w:rPr>
                        <w:t>Help you to grow, develop and to do your best</w:t>
                      </w:r>
                    </w:p>
                    <w:p>
                      <w:pPr>
                        <w:pStyle w:val="FrameContents"/>
                        <w:numPr>
                          <w:ilvl w:val="0"/>
                          <w:numId w:val="1"/>
                        </w:numPr>
                        <w:spacing w:before="0" w:after="0"/>
                        <w:textAlignment w:val="top"/>
                        <w:rPr/>
                      </w:pPr>
                      <w:r>
                        <w:rPr>
                          <w:rFonts w:cs="Arial" w:ascii="Arial" w:hAnsi="Arial"/>
                          <w:lang w:eastAsia="en-GB"/>
                        </w:rPr>
                        <w:t>Enable you to be creative and innovative</w:t>
                      </w:r>
                    </w:p>
                    <w:p>
                      <w:pPr>
                        <w:pStyle w:val="FrameContents"/>
                        <w:numPr>
                          <w:ilvl w:val="0"/>
                          <w:numId w:val="1"/>
                        </w:numPr>
                        <w:spacing w:before="0" w:after="0"/>
                        <w:textAlignment w:val="top"/>
                        <w:rPr/>
                      </w:pPr>
                      <w:r>
                        <w:rPr>
                          <w:rFonts w:cs="Arial" w:ascii="Arial" w:hAnsi="Arial"/>
                          <w:lang w:eastAsia="en-GB"/>
                        </w:rPr>
                        <w:t>Fully involve you in changes that affect you and your work</w:t>
                      </w:r>
                    </w:p>
                    <w:p>
                      <w:pPr>
                        <w:pStyle w:val="FrameContents"/>
                        <w:numPr>
                          <w:ilvl w:val="0"/>
                          <w:numId w:val="1"/>
                        </w:numPr>
                        <w:spacing w:before="0" w:after="280"/>
                        <w:textAlignment w:val="top"/>
                        <w:rPr/>
                      </w:pPr>
                      <w:r>
                        <w:rPr>
                          <w:rFonts w:cs="Arial" w:ascii="Arial" w:hAnsi="Arial"/>
                          <w:lang w:eastAsia="en-GB"/>
                        </w:rPr>
                        <w:t>Listen, and act on your ideas and feedback</w:t>
                      </w:r>
                    </w:p>
                    <w:p>
                      <w:pPr>
                        <w:pStyle w:val="FrameContents"/>
                        <w:spacing w:before="280" w:after="0"/>
                        <w:textAlignment w:val="top"/>
                        <w:rPr>
                          <w:rFonts w:ascii="Arial" w:hAnsi="Arial" w:cs="Arial"/>
                          <w:b/>
                          <w:lang w:eastAsia="en-GB"/>
                        </w:rPr>
                      </w:pPr>
                      <w:r>
                        <w:rPr>
                          <w:rFonts w:cs="Arial" w:ascii="Arial" w:hAnsi="Arial"/>
                          <w:b/>
                          <w:lang w:eastAsia="en-GB"/>
                        </w:rPr>
                        <w:t xml:space="preserve">Working together, we are proud to work for Tameside </w:t>
                      </w:r>
                    </w:p>
                    <w:p>
                      <w:pPr>
                        <w:pStyle w:val="FrameContents"/>
                        <w:rPr/>
                      </w:pPr>
                      <w:r>
                        <w:rPr/>
                      </w:r>
                    </w:p>
                  </w:txbxContent>
                </v:textbox>
                <w10:wrap type="none"/>
              </v:rect>
            </w:pict>
          </mc:Fallback>
        </mc:AlternateContent>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rFonts w:ascii="Calibri" w:hAnsi="Calibri" w:eastAsia="Calibri" w:cs="Calibri"/>
          <w:sz w:val="22"/>
          <w:szCs w:val="22"/>
        </w:rPr>
      </w:pPr>
      <w:r>
        <w:rPr>
          <w:rFonts w:eastAsia="Calibri" w:cs="Calibri" w:ascii="Calibri" w:hAnsi="Calibri"/>
          <w:sz w:val="22"/>
          <w:szCs w:val="22"/>
        </w:rPr>
      </w:r>
    </w:p>
    <w:p>
      <w:pPr>
        <w:pStyle w:val="Normal"/>
        <w:spacing w:lineRule="auto" w:line="276" w:before="0" w:after="120"/>
        <w:jc w:val="both"/>
        <w:rPr/>
      </w:pPr>
      <w:r>
        <w:drawing>
          <wp:anchor behindDoc="1" distT="0" distB="0" distL="114300" distR="114300" simplePos="0" locked="0" layoutInCell="0" allowOverlap="1" relativeHeight="5">
            <wp:simplePos x="0" y="0"/>
            <wp:positionH relativeFrom="margin">
              <wp:posOffset>-513080</wp:posOffset>
            </wp:positionH>
            <wp:positionV relativeFrom="margin">
              <wp:posOffset>-696595</wp:posOffset>
            </wp:positionV>
            <wp:extent cx="7117080" cy="647065"/>
            <wp:effectExtent l="0" t="0" r="0" b="0"/>
            <wp:wrapSquare wrapText="bothSides"/>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4"/>
                    <a:srcRect l="23374" t="84926" r="25679" b="6777"/>
                    <a:stretch>
                      <a:fillRect/>
                    </a:stretch>
                  </pic:blipFill>
                  <pic:spPr bwMode="auto">
                    <a:xfrm>
                      <a:off x="0" y="0"/>
                      <a:ext cx="7117080" cy="647065"/>
                    </a:xfrm>
                    <a:prstGeom prst="rect">
                      <a:avLst/>
                    </a:prstGeom>
                  </pic:spPr>
                </pic:pic>
              </a:graphicData>
            </a:graphic>
          </wp:anchor>
        </w:drawing>
      </w:r>
      <w:r>
        <w:rPr>
          <w:rFonts w:eastAsia="Calibri" w:cs="Calibri" w:ascii="Calibri" w:hAnsi="Calibri"/>
          <w:sz w:val="22"/>
          <w:szCs w:val="22"/>
        </w:rPr>
        <w:t xml:space="preserve">Our </w:t>
      </w:r>
      <w:r>
        <w:rPr>
          <w:rFonts w:eastAsia="Calibri" w:cs="Calibri" w:ascii="Calibri" w:hAnsi="Calibri"/>
          <w:b/>
          <w:color w:val="0070C0"/>
          <w:sz w:val="22"/>
          <w:szCs w:val="22"/>
        </w:rPr>
        <w:t>S</w:t>
      </w:r>
      <w:r>
        <w:rPr>
          <w:rFonts w:eastAsia="Calibri" w:cs="Calibri" w:ascii="Calibri" w:hAnsi="Calibri"/>
          <w:b/>
          <w:color w:val="FF3399"/>
          <w:sz w:val="22"/>
          <w:szCs w:val="22"/>
        </w:rPr>
        <w:t>T</w:t>
      </w:r>
      <w:r>
        <w:rPr>
          <w:rFonts w:eastAsia="Calibri" w:cs="Calibri" w:ascii="Calibri" w:hAnsi="Calibri"/>
          <w:b/>
          <w:color w:val="00B0F0"/>
          <w:sz w:val="22"/>
          <w:szCs w:val="22"/>
        </w:rPr>
        <w:t>R</w:t>
      </w:r>
      <w:r>
        <w:rPr>
          <w:rFonts w:eastAsia="Calibri" w:cs="Calibri" w:ascii="Calibri" w:hAnsi="Calibri"/>
          <w:b/>
          <w:color w:val="92D050"/>
          <w:sz w:val="22"/>
          <w:szCs w:val="22"/>
        </w:rPr>
        <w:t>I</w:t>
      </w:r>
      <w:r>
        <w:rPr>
          <w:rFonts w:eastAsia="Calibri" w:cs="Calibri" w:ascii="Calibri" w:hAnsi="Calibri"/>
          <w:b/>
          <w:color w:val="FFD966"/>
          <w:sz w:val="22"/>
          <w:szCs w:val="22"/>
        </w:rPr>
        <w:t>V</w:t>
      </w:r>
      <w:r>
        <w:rPr>
          <w:rFonts w:eastAsia="Calibri" w:cs="Calibri" w:ascii="Calibri" w:hAnsi="Calibri"/>
          <w:b/>
          <w:color w:val="FFC000"/>
          <w:sz w:val="22"/>
          <w:szCs w:val="22"/>
        </w:rPr>
        <w:t>E</w:t>
      </w:r>
      <w:r>
        <w:rPr>
          <w:rFonts w:eastAsia="Calibri" w:cs="Calibri" w:ascii="Calibri" w:hAnsi="Calibri"/>
          <w:sz w:val="22"/>
          <w:szCs w:val="22"/>
        </w:rPr>
        <w:t xml:space="preserve"> values underpin our practice and behaviours and are at the heart of everything that we do:</w:t>
      </w:r>
    </w:p>
    <w:p>
      <w:pPr>
        <w:pStyle w:val="Normal"/>
        <w:spacing w:lineRule="auto" w:line="276"/>
        <w:jc w:val="center"/>
        <w:rPr>
          <w:rFonts w:ascii="Calibri" w:hAnsi="Calibri" w:eastAsia="Calibri" w:cs="Calibri"/>
          <w:sz w:val="22"/>
          <w:szCs w:val="22"/>
        </w:rPr>
      </w:pPr>
      <w:r>
        <w:rPr>
          <w:rFonts w:eastAsia="Calibri" w:cs="Calibri" w:ascii="Calibri" w:hAnsi="Calibri"/>
          <w:sz w:val="22"/>
          <w:szCs w:val="22"/>
        </w:rPr>
        <mc:AlternateContent>
          <mc:Choice Requires="wps">
            <w:drawing>
              <wp:anchor behindDoc="0" distT="0" distB="0" distL="114935" distR="114935" simplePos="0" locked="0" layoutInCell="1" allowOverlap="1" relativeHeight="7">
                <wp:simplePos x="0" y="0"/>
                <wp:positionH relativeFrom="column">
                  <wp:posOffset>-19050</wp:posOffset>
                </wp:positionH>
                <wp:positionV relativeFrom="paragraph">
                  <wp:posOffset>-2540</wp:posOffset>
                </wp:positionV>
                <wp:extent cx="3276600" cy="1133475"/>
                <wp:effectExtent l="19050" t="19050" r="19050" b="19050"/>
                <wp:wrapNone/>
                <wp:docPr id="8" name=""/>
                <a:graphic xmlns:a="http://schemas.openxmlformats.org/drawingml/2006/main">
                  <a:graphicData uri="http://schemas.microsoft.com/office/word/2010/wordprocessingShape">
                    <wps:wsp>
                      <wps:cNvSpPr txBox="1"/>
                      <wps:spPr>
                        <a:xfrm>
                          <a:off x="0" y="0"/>
                          <a:ext cx="3276720" cy="1133640"/>
                        </a:xfrm>
                        <a:prstGeom prst="rect">
                          <a:avLst/>
                        </a:prstGeom>
                        <a:solidFill>
                          <a:srgbClr val="558ed5"/>
                        </a:solidFill>
                        <a:ln cap="rnd" w="38160">
                          <a:solidFill>
                            <a:srgbClr val="8eb4e3"/>
                          </a:solidFill>
                          <a:round/>
                        </a:ln>
                      </wps:spPr>
                      <wps:bodyPr/>
                    </wps:wsp>
                  </a:graphicData>
                </a:graphic>
              </wp:anchor>
            </w:drawing>
          </mc:Choice>
          <mc:Fallback>
            <w:pict>
              <v:shape id="shape_0" fillcolor="#558ed5" stroked="t" o:allowincell="f" style="position:absolute;margin-left:-1.5pt;margin-top:-0.2pt;width:257.95pt;height:89.2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aa712a"/>
                <v:stroke color="#8eb4e3" weight="38160" joinstyle="round" endcap="round"/>
                <w10:wrap type="none"/>
              </v:shape>
            </w:pict>
          </mc:Fallback>
        </mc:AlternateContent>
        <mc:AlternateContent>
          <mc:Choice Requires="wps">
            <w:drawing>
              <wp:anchor behindDoc="0" distT="0" distB="0" distL="114935" distR="114935" simplePos="0" locked="0" layoutInCell="1" allowOverlap="1" relativeHeight="8">
                <wp:simplePos x="0" y="0"/>
                <wp:positionH relativeFrom="column">
                  <wp:posOffset>3409950</wp:posOffset>
                </wp:positionH>
                <wp:positionV relativeFrom="paragraph">
                  <wp:posOffset>-2540</wp:posOffset>
                </wp:positionV>
                <wp:extent cx="3276600" cy="1104900"/>
                <wp:effectExtent l="19050" t="19050" r="19050" b="19050"/>
                <wp:wrapNone/>
                <wp:docPr id="9" name=""/>
                <a:graphic xmlns:a="http://schemas.openxmlformats.org/drawingml/2006/main">
                  <a:graphicData uri="http://schemas.microsoft.com/office/word/2010/wordprocessingShape">
                    <wps:wsp>
                      <wps:cNvSpPr txBox="1"/>
                      <wps:spPr>
                        <a:xfrm>
                          <a:off x="0" y="0"/>
                          <a:ext cx="3276720" cy="1104840"/>
                        </a:xfrm>
                        <a:prstGeom prst="rect">
                          <a:avLst/>
                        </a:prstGeom>
                        <a:solidFill>
                          <a:srgbClr val="ff3399"/>
                        </a:solidFill>
                        <a:ln cap="rnd" w="38160">
                          <a:solidFill>
                            <a:srgbClr val="ff00ff"/>
                          </a:solidFill>
                          <a:bevel/>
                        </a:ln>
                      </wps:spPr>
                      <wps:bodyPr/>
                    </wps:wsp>
                  </a:graphicData>
                </a:graphic>
              </wp:anchor>
            </w:drawing>
          </mc:Choice>
          <mc:Fallback>
            <w:pict>
              <v:shape id="shape_0" fillcolor="#ff3399" stroked="t" o:allowincell="f" style="position:absolute;margin-left:268.5pt;margin-top:-0.2pt;width:257.95pt;height:86.9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00cc66"/>
                <v:stroke color="fuchsia" weight="38160" joinstyle="bevel" endcap="round"/>
                <w10:wrap type="none"/>
              </v:shape>
            </w:pict>
          </mc:Fallback>
        </mc:AlternateContent>
      </w:r>
      <w:r>
        <mc:AlternateContent>
          <mc:Choice Requires="wps">
            <w:drawing>
              <wp:anchor behindDoc="0" distT="72390" distB="72390" distL="19050" distR="19050" simplePos="0" locked="0" layoutInCell="1" allowOverlap="1" relativeHeight="16">
                <wp:simplePos x="0" y="0"/>
                <wp:positionH relativeFrom="column">
                  <wp:posOffset>3409950</wp:posOffset>
                </wp:positionH>
                <wp:positionV relativeFrom="paragraph">
                  <wp:posOffset>-2540</wp:posOffset>
                </wp:positionV>
                <wp:extent cx="3276600" cy="1104900"/>
                <wp:effectExtent l="0" t="0" r="0" b="0"/>
                <wp:wrapNone/>
                <wp:docPr id="10" name="Frame3"/>
                <a:graphic xmlns:a="http://schemas.openxmlformats.org/drawingml/2006/main">
                  <a:graphicData uri="http://schemas.microsoft.com/office/word/2010/wordprocessingShape">
                    <wps:wsp>
                      <wps:cNvSpPr txBox="1"/>
                      <wps:spPr>
                        <a:xfrm>
                          <a:off x="0" y="0"/>
                          <a:ext cx="3276600" cy="110490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wps:txbx>
                      <wps:bodyPr anchor="t" lIns="92075" tIns="46355" rIns="92075" bIns="46355">
                        <a:noAutofit/>
                      </wps:bodyPr>
                    </wps:wsp>
                  </a:graphicData>
                </a:graphic>
              </wp:anchor>
            </w:drawing>
          </mc:Choice>
          <mc:Fallback>
            <w:pict>
              <v:rect fillcolor="#FFFFFF" style="position:absolute;rotation:-0;width:258pt;height:87pt;mso-wrap-distance-left:1.5pt;mso-wrap-distance-right:1.5pt;mso-wrap-distance-top:5.7pt;mso-wrap-distance-bottom:5.7pt;margin-top:-0.2pt;mso-position-vertical-relative:text;margin-left:268.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v:textbox>
                <w10:wrap type="none"/>
              </v:rect>
            </w:pict>
          </mc:Fallback>
        </mc:AlternateContent>
      </w:r>
      <w:r>
        <mc:AlternateContent>
          <mc:Choice Requires="wps">
            <w:drawing>
              <wp:anchor behindDoc="0" distT="72390" distB="72390" distL="19050" distR="19050" simplePos="0" locked="0" layoutInCell="1" allowOverlap="1" relativeHeight="17">
                <wp:simplePos x="0" y="0"/>
                <wp:positionH relativeFrom="column">
                  <wp:posOffset>-19050</wp:posOffset>
                </wp:positionH>
                <wp:positionV relativeFrom="paragraph">
                  <wp:posOffset>-2540</wp:posOffset>
                </wp:positionV>
                <wp:extent cx="3276600" cy="1133475"/>
                <wp:effectExtent l="0" t="0" r="0" b="0"/>
                <wp:wrapNone/>
                <wp:docPr id="11" name="Frame4"/>
                <a:graphic xmlns:a="http://schemas.openxmlformats.org/drawingml/2006/main">
                  <a:graphicData uri="http://schemas.microsoft.com/office/word/2010/wordprocessingShape">
                    <wps:wsp>
                      <wps:cNvSpPr txBox="1"/>
                      <wps:spPr>
                        <a:xfrm>
                          <a:off x="0" y="0"/>
                          <a:ext cx="3276600" cy="1133475"/>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wps:txbx>
                      <wps:bodyPr anchor="t" lIns="92075" tIns="46355" rIns="92075" bIns="46355">
                        <a:noAutofit/>
                      </wps:bodyPr>
                    </wps:wsp>
                  </a:graphicData>
                </a:graphic>
              </wp:anchor>
            </w:drawing>
          </mc:Choice>
          <mc:Fallback>
            <w:pict>
              <v:rect fillcolor="#FFFFFF" style="position:absolute;rotation:-0;width:258pt;height:89.25pt;mso-wrap-distance-left:1.5pt;mso-wrap-distance-right:1.5pt;mso-wrap-distance-top:5.7pt;mso-wrap-distance-bottom:5.7pt;margin-top:-0.2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v:textbox>
                <w10:wrap type="none"/>
              </v:rect>
            </w:pict>
          </mc:Fallback>
        </mc:AlternateContent>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mc:AlternateContent>
          <mc:Choice Requires="wps">
            <w:drawing>
              <wp:anchor behindDoc="0" distT="0" distB="0" distL="114935" distR="114935" simplePos="0" locked="0" layoutInCell="1" allowOverlap="1" relativeHeight="9">
                <wp:simplePos x="0" y="0"/>
                <wp:positionH relativeFrom="column">
                  <wp:posOffset>-19050</wp:posOffset>
                </wp:positionH>
                <wp:positionV relativeFrom="paragraph">
                  <wp:posOffset>164465</wp:posOffset>
                </wp:positionV>
                <wp:extent cx="3276600" cy="1171575"/>
                <wp:effectExtent l="19050" t="19050" r="19050" b="19050"/>
                <wp:wrapNone/>
                <wp:docPr id="12" name=""/>
                <a:graphic xmlns:a="http://schemas.openxmlformats.org/drawingml/2006/main">
                  <a:graphicData uri="http://schemas.microsoft.com/office/word/2010/wordprocessingShape">
                    <wps:wsp>
                      <wps:cNvSpPr txBox="1"/>
                      <wps:spPr>
                        <a:xfrm>
                          <a:off x="0" y="0"/>
                          <a:ext cx="3276720" cy="1171440"/>
                        </a:xfrm>
                        <a:prstGeom prst="rect">
                          <a:avLst/>
                        </a:prstGeom>
                        <a:solidFill>
                          <a:srgbClr val="00b0f0"/>
                        </a:solidFill>
                        <a:ln cap="rnd" w="38160">
                          <a:solidFill>
                            <a:srgbClr val="31859c"/>
                          </a:solidFill>
                          <a:round/>
                        </a:ln>
                      </wps:spPr>
                      <wps:bodyPr/>
                    </wps:wsp>
                  </a:graphicData>
                </a:graphic>
              </wp:anchor>
            </w:drawing>
          </mc:Choice>
          <mc:Fallback>
            <w:pict>
              <v:shape id="shape_0" fillcolor="#00b0f0" stroked="t" o:allowincell="f" style="position:absolute;margin-left:-1.5pt;margin-top:12.95pt;width:257.95pt;height:92.2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ff4f0f"/>
                <v:stroke color="#31859c" weight="38160" joinstyle="round" endcap="round"/>
                <w10:wrap type="none"/>
              </v:shape>
            </w:pict>
          </mc:Fallback>
        </mc:AlternateContent>
        <mc:AlternateContent>
          <mc:Choice Requires="wps">
            <w:drawing>
              <wp:anchor behindDoc="0" distT="0" distB="0" distL="114935" distR="114935" simplePos="0" locked="0" layoutInCell="1" allowOverlap="1" relativeHeight="12">
                <wp:simplePos x="0" y="0"/>
                <wp:positionH relativeFrom="column">
                  <wp:posOffset>3409950</wp:posOffset>
                </wp:positionH>
                <wp:positionV relativeFrom="paragraph">
                  <wp:posOffset>155575</wp:posOffset>
                </wp:positionV>
                <wp:extent cx="3276600" cy="1181100"/>
                <wp:effectExtent l="19050" t="19050" r="19050" b="19050"/>
                <wp:wrapNone/>
                <wp:docPr id="13" name=""/>
                <a:graphic xmlns:a="http://schemas.openxmlformats.org/drawingml/2006/main">
                  <a:graphicData uri="http://schemas.microsoft.com/office/word/2010/wordprocessingShape">
                    <wps:wsp>
                      <wps:cNvSpPr txBox="1"/>
                      <wps:spPr>
                        <a:xfrm>
                          <a:off x="0" y="0"/>
                          <a:ext cx="3276720" cy="1181160"/>
                        </a:xfrm>
                        <a:prstGeom prst="rect">
                          <a:avLst/>
                        </a:prstGeom>
                        <a:solidFill>
                          <a:srgbClr val="92d050"/>
                        </a:solidFill>
                        <a:ln cap="rnd" w="38160">
                          <a:solidFill>
                            <a:srgbClr val="00b050"/>
                          </a:solidFill>
                          <a:round/>
                        </a:ln>
                      </wps:spPr>
                      <wps:bodyPr/>
                    </wps:wsp>
                  </a:graphicData>
                </a:graphic>
              </wp:anchor>
            </w:drawing>
          </mc:Choice>
          <mc:Fallback>
            <w:pict>
              <v:shape id="shape_0" fillcolor="#92d050" stroked="t" o:allowincell="f" style="position:absolute;margin-left:268.5pt;margin-top:12.25pt;width:257.95pt;height:92.9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6d2faf"/>
                <v:stroke color="#00b050" weight="38160" joinstyle="round" endcap="round"/>
                <w10:wrap type="none"/>
              </v:shape>
            </w:pict>
          </mc:Fallback>
        </mc:AlternateContent>
      </w:r>
      <w:r>
        <mc:AlternateContent>
          <mc:Choice Requires="wps">
            <w:drawing>
              <wp:anchor behindDoc="0" distT="72390" distB="72390" distL="19050" distR="19050" simplePos="0" locked="0" layoutInCell="1" allowOverlap="1" relativeHeight="18">
                <wp:simplePos x="0" y="0"/>
                <wp:positionH relativeFrom="column">
                  <wp:posOffset>-19050</wp:posOffset>
                </wp:positionH>
                <wp:positionV relativeFrom="paragraph">
                  <wp:posOffset>164465</wp:posOffset>
                </wp:positionV>
                <wp:extent cx="3276600" cy="1171575"/>
                <wp:effectExtent l="0" t="0" r="0" b="0"/>
                <wp:wrapNone/>
                <wp:docPr id="14" name="Frame5"/>
                <a:graphic xmlns:a="http://schemas.openxmlformats.org/drawingml/2006/main">
                  <a:graphicData uri="http://schemas.microsoft.com/office/word/2010/wordprocessingShape">
                    <wps:wsp>
                      <wps:cNvSpPr txBox="1"/>
                      <wps:spPr>
                        <a:xfrm>
                          <a:off x="0" y="0"/>
                          <a:ext cx="3276600" cy="1171575"/>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wps:txbx>
                      <wps:bodyPr anchor="t" lIns="92075" tIns="46355" rIns="92075" bIns="46355">
                        <a:noAutofit/>
                      </wps:bodyPr>
                    </wps:wsp>
                  </a:graphicData>
                </a:graphic>
              </wp:anchor>
            </w:drawing>
          </mc:Choice>
          <mc:Fallback>
            <w:pict>
              <v:rect fillcolor="#FFFFFF" style="position:absolute;rotation:-0;width:258pt;height:92.25pt;mso-wrap-distance-left:1.5pt;mso-wrap-distance-right:1.5pt;mso-wrap-distance-top:5.7pt;mso-wrap-distance-bottom:5.7pt;margin-top:12.95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v:textbox>
                <w10:wrap type="none"/>
              </v:rect>
            </w:pict>
          </mc:Fallback>
        </mc:AlternateContent>
      </w:r>
      <w:r>
        <mc:AlternateContent>
          <mc:Choice Requires="wps">
            <w:drawing>
              <wp:anchor behindDoc="0" distT="72390" distB="72390" distL="19050" distR="19050" simplePos="0" locked="0" layoutInCell="1" allowOverlap="1" relativeHeight="19">
                <wp:simplePos x="0" y="0"/>
                <wp:positionH relativeFrom="column">
                  <wp:posOffset>3409950</wp:posOffset>
                </wp:positionH>
                <wp:positionV relativeFrom="paragraph">
                  <wp:posOffset>155575</wp:posOffset>
                </wp:positionV>
                <wp:extent cx="3276600" cy="1181100"/>
                <wp:effectExtent l="0" t="0" r="0" b="0"/>
                <wp:wrapNone/>
                <wp:docPr id="15" name="Frame6"/>
                <a:graphic xmlns:a="http://schemas.openxmlformats.org/drawingml/2006/main">
                  <a:graphicData uri="http://schemas.microsoft.com/office/word/2010/wordprocessingShape">
                    <wps:wsp>
                      <wps:cNvSpPr txBox="1"/>
                      <wps:spPr>
                        <a:xfrm>
                          <a:off x="0" y="0"/>
                          <a:ext cx="3276600" cy="118110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wps:txbx>
                      <wps:bodyPr anchor="t" lIns="92075" tIns="46355" rIns="92075" bIns="46355">
                        <a:noAutofit/>
                      </wps:bodyPr>
                    </wps:wsp>
                  </a:graphicData>
                </a:graphic>
              </wp:anchor>
            </w:drawing>
          </mc:Choice>
          <mc:Fallback>
            <w:pict>
              <v:rect fillcolor="#FFFFFF" style="position:absolute;rotation:-0;width:258pt;height:93pt;mso-wrap-distance-left:1.5pt;mso-wrap-distance-right:1.5pt;mso-wrap-distance-top:5.7pt;mso-wrap-distance-bottom:5.7pt;margin-top:12.25pt;mso-position-vertical-relative:text;margin-left:268.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v:textbox>
                <w10:wrap type="none"/>
              </v:rect>
            </w:pict>
          </mc:Fallback>
        </mc:AlternateContent>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mc:AlternateContent>
          <mc:Choice Requires="wps">
            <w:drawing>
              <wp:anchor behindDoc="0" distT="0" distB="0" distL="114935" distR="114935" simplePos="0" locked="0" layoutInCell="1" allowOverlap="1" relativeHeight="10">
                <wp:simplePos x="0" y="0"/>
                <wp:positionH relativeFrom="column">
                  <wp:posOffset>-19050</wp:posOffset>
                </wp:positionH>
                <wp:positionV relativeFrom="paragraph">
                  <wp:posOffset>11430</wp:posOffset>
                </wp:positionV>
                <wp:extent cx="3276600" cy="1123950"/>
                <wp:effectExtent l="19050" t="19050" r="19050" b="19050"/>
                <wp:wrapNone/>
                <wp:docPr id="16" name=""/>
                <a:graphic xmlns:a="http://schemas.openxmlformats.org/drawingml/2006/main">
                  <a:graphicData uri="http://schemas.microsoft.com/office/word/2010/wordprocessingShape">
                    <wps:wsp>
                      <wps:cNvSpPr txBox="1"/>
                      <wps:spPr>
                        <a:xfrm>
                          <a:off x="0" y="0"/>
                          <a:ext cx="3276720" cy="1123920"/>
                        </a:xfrm>
                        <a:prstGeom prst="rect">
                          <a:avLst/>
                        </a:prstGeom>
                        <a:solidFill>
                          <a:srgbClr val="7030a0"/>
                        </a:solidFill>
                        <a:ln cap="rnd" w="38160">
                          <a:solidFill>
                            <a:srgbClr val="b3a2c7"/>
                          </a:solidFill>
                          <a:round/>
                        </a:ln>
                      </wps:spPr>
                      <wps:bodyPr/>
                    </wps:wsp>
                  </a:graphicData>
                </a:graphic>
              </wp:anchor>
            </w:drawing>
          </mc:Choice>
          <mc:Fallback>
            <w:pict>
              <v:shape id="shape_0" fillcolor="#7030a0" stroked="t" o:allowincell="f" style="position:absolute;margin-left:-1.5pt;margin-top:0.9pt;width:257.95pt;height:88.4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8fcf5f"/>
                <v:stroke color="#b3a2c7" weight="38160" joinstyle="round" endcap="round"/>
                <w10:wrap type="none"/>
              </v:shape>
            </w:pict>
          </mc:Fallback>
        </mc:AlternateContent>
        <mc:AlternateContent>
          <mc:Choice Requires="wps">
            <w:drawing>
              <wp:anchor behindDoc="0" distT="0" distB="0" distL="114935" distR="114935" simplePos="0" locked="0" layoutInCell="1" allowOverlap="1" relativeHeight="11">
                <wp:simplePos x="0" y="0"/>
                <wp:positionH relativeFrom="column">
                  <wp:posOffset>3409950</wp:posOffset>
                </wp:positionH>
                <wp:positionV relativeFrom="paragraph">
                  <wp:posOffset>11430</wp:posOffset>
                </wp:positionV>
                <wp:extent cx="3276600" cy="1123950"/>
                <wp:effectExtent l="19050" t="19050" r="19050" b="19050"/>
                <wp:wrapNone/>
                <wp:docPr id="17" name=""/>
                <a:graphic xmlns:a="http://schemas.openxmlformats.org/drawingml/2006/main">
                  <a:graphicData uri="http://schemas.microsoft.com/office/word/2010/wordprocessingShape">
                    <wps:wsp>
                      <wps:cNvSpPr txBox="1"/>
                      <wps:spPr>
                        <a:xfrm>
                          <a:off x="0" y="0"/>
                          <a:ext cx="3276720" cy="1123920"/>
                        </a:xfrm>
                        <a:prstGeom prst="rect">
                          <a:avLst/>
                        </a:prstGeom>
                        <a:solidFill>
                          <a:srgbClr val="e46c0a"/>
                        </a:solidFill>
                        <a:ln cap="rnd" w="38160">
                          <a:solidFill>
                            <a:srgbClr val="fac090"/>
                          </a:solidFill>
                          <a:round/>
                        </a:ln>
                      </wps:spPr>
                      <wps:bodyPr/>
                    </wps:wsp>
                  </a:graphicData>
                </a:graphic>
              </wp:anchor>
            </w:drawing>
          </mc:Choice>
          <mc:Fallback>
            <w:pict>
              <v:shape id="shape_0" fillcolor="#e46c0a" stroked="t" o:allowincell="f" style="position:absolute;margin-left:268.5pt;margin-top:0.9pt;width:257.95pt;height:88.45pt;mso-wrap-style:none;v-text-anchor:middle" type="_x0000_t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v:fill o:detectmouseclick="t" type="solid" color2="#1b93f5"/>
                <v:stroke color="#fac090" weight="38160" joinstyle="round" endcap="round"/>
                <w10:wrap type="none"/>
              </v:shape>
            </w:pict>
          </mc:Fallback>
        </mc:AlternateContent>
      </w:r>
      <w:r>
        <mc:AlternateContent>
          <mc:Choice Requires="wps">
            <w:drawing>
              <wp:anchor behindDoc="0" distT="72390" distB="72390" distL="19050" distR="19050" simplePos="0" locked="0" layoutInCell="1" allowOverlap="1" relativeHeight="20">
                <wp:simplePos x="0" y="0"/>
                <wp:positionH relativeFrom="column">
                  <wp:posOffset>-19050</wp:posOffset>
                </wp:positionH>
                <wp:positionV relativeFrom="paragraph">
                  <wp:posOffset>11430</wp:posOffset>
                </wp:positionV>
                <wp:extent cx="3276600" cy="1123950"/>
                <wp:effectExtent l="0" t="0" r="0" b="0"/>
                <wp:wrapNone/>
                <wp:docPr id="18" name="Frame7"/>
                <a:graphic xmlns:a="http://schemas.openxmlformats.org/drawingml/2006/main">
                  <a:graphicData uri="http://schemas.microsoft.com/office/word/2010/wordprocessingShape">
                    <wps:wsp>
                      <wps:cNvSpPr txBox="1"/>
                      <wps:spPr>
                        <a:xfrm>
                          <a:off x="0" y="0"/>
                          <a:ext cx="3276600" cy="112395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VALUE DIFFERENCE</w:t>
                            </w:r>
                          </w:p>
                          <w:p>
                            <w:pPr>
                              <w:pStyle w:val="NoSpacing"/>
                              <w:jc w:val="both"/>
                              <w:rPr>
                                <w:rFonts w:ascii="Arial" w:hAnsi="Arial" w:cs="Arial"/>
                                <w:color w:val="FFFFFF"/>
                              </w:rPr>
                            </w:pPr>
                            <w:r>
                              <w:rPr>
                                <w:rFonts w:cs="Arial" w:ascii="Arial" w:hAnsi="Arial"/>
                                <w:color w:val="FFFFFF"/>
                              </w:rPr>
                              <w:t xml:space="preserve">We are all recognised for our individuality, commitment, skills and achievements and will challenge inequalities. </w:t>
                            </w:r>
                          </w:p>
                        </w:txbxContent>
                      </wps:txbx>
                      <wps:bodyPr anchor="t" lIns="92075" tIns="46355" rIns="92075" bIns="46355">
                        <a:noAutofit/>
                      </wps:bodyPr>
                    </wps:wsp>
                  </a:graphicData>
                </a:graphic>
              </wp:anchor>
            </w:drawing>
          </mc:Choice>
          <mc:Fallback>
            <w:pict>
              <v:rect fillcolor="#FFFFFF" style="position:absolute;rotation:-0;width:258pt;height:88.5pt;mso-wrap-distance-left:1.5pt;mso-wrap-distance-right:1.5pt;mso-wrap-distance-top:5.7pt;mso-wrap-distance-bottom:5.7pt;margin-top:0.9pt;mso-position-vertical-relative:text;margin-left:-1.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VALUE DIFFERENCE</w:t>
                      </w:r>
                    </w:p>
                    <w:p>
                      <w:pPr>
                        <w:pStyle w:val="NoSpacing"/>
                        <w:jc w:val="both"/>
                        <w:rPr>
                          <w:rFonts w:ascii="Arial" w:hAnsi="Arial" w:cs="Arial"/>
                          <w:color w:val="FFFFFF"/>
                        </w:rPr>
                      </w:pPr>
                      <w:r>
                        <w:rPr>
                          <w:rFonts w:cs="Arial" w:ascii="Arial" w:hAnsi="Arial"/>
                          <w:color w:val="FFFFFF"/>
                        </w:rPr>
                        <w:t xml:space="preserve">We are all recognised for our individuality, commitment, skills and achievements and will challenge inequalities. </w:t>
                      </w:r>
                    </w:p>
                  </w:txbxContent>
                </v:textbox>
                <w10:wrap type="none"/>
              </v:rect>
            </w:pict>
          </mc:Fallback>
        </mc:AlternateContent>
      </w:r>
      <w:r>
        <mc:AlternateContent>
          <mc:Choice Requires="wps">
            <w:drawing>
              <wp:anchor behindDoc="0" distT="72390" distB="72390" distL="19050" distR="19050" simplePos="0" locked="0" layoutInCell="1" allowOverlap="1" relativeHeight="21">
                <wp:simplePos x="0" y="0"/>
                <wp:positionH relativeFrom="column">
                  <wp:posOffset>3409950</wp:posOffset>
                </wp:positionH>
                <wp:positionV relativeFrom="paragraph">
                  <wp:posOffset>11430</wp:posOffset>
                </wp:positionV>
                <wp:extent cx="3276600" cy="1123950"/>
                <wp:effectExtent l="0" t="0" r="0" b="0"/>
                <wp:wrapNone/>
                <wp:docPr id="19" name="Frame8"/>
                <a:graphic xmlns:a="http://schemas.openxmlformats.org/drawingml/2006/main">
                  <a:graphicData uri="http://schemas.microsoft.com/office/word/2010/wordprocessingShape">
                    <wps:wsp>
                      <wps:cNvSpPr txBox="1"/>
                      <wps:spPr>
                        <a:xfrm>
                          <a:off x="0" y="0"/>
                          <a:ext cx="3276600" cy="1123950"/>
                        </a:xfrm>
                        <a:prstGeom prst="rect"/>
                        <a:solidFill>
                          <a:srgbClr val="FFFFFF"/>
                        </a:solidFill>
                      </wps:spPr>
                      <wps:txbx>
                        <w:txbxContent>
                          <w:p>
                            <w:pPr>
                              <w:pStyle w:val="NoSpacing"/>
                              <w:jc w:val="center"/>
                              <w:rPr>
                                <w:rFonts w:ascii="Arial" w:hAnsi="Arial" w:cs="Arial"/>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wps:txbx>
                      <wps:bodyPr anchor="t" lIns="92075" tIns="46355" rIns="92075" bIns="46355">
                        <a:noAutofit/>
                      </wps:bodyPr>
                    </wps:wsp>
                  </a:graphicData>
                </a:graphic>
              </wp:anchor>
            </w:drawing>
          </mc:Choice>
          <mc:Fallback>
            <w:pict>
              <v:rect fillcolor="#FFFFFF" style="position:absolute;rotation:-0;width:258pt;height:88.5pt;mso-wrap-distance-left:1.5pt;mso-wrap-distance-right:1.5pt;mso-wrap-distance-top:5.7pt;mso-wrap-distance-bottom:5.7pt;margin-top:0.9pt;mso-position-vertical-relative:text;margin-left:268.5pt;mso-position-horizontal-relative:text">
                <v:textbox inset="0.100694444444444in,0.0506944444444444in,0.100694444444444in,0.0506944444444444in">
                  <w:txbxContent>
                    <w:p>
                      <w:pPr>
                        <w:pStyle w:val="NoSpacing"/>
                        <w:jc w:val="center"/>
                        <w:rPr>
                          <w:rFonts w:ascii="Arial" w:hAnsi="Arial" w:cs="Arial"/>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v:textbox>
                <w10:wrap type="none"/>
              </v:rect>
            </w:pict>
          </mc:Fallback>
        </mc:AlternateContent>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lineRule="auto" w:line="276"/>
        <w:rPr>
          <w:rFonts w:ascii="Calibri" w:hAnsi="Calibri" w:eastAsia="Calibri" w:cs="Calibri"/>
          <w:sz w:val="22"/>
          <w:szCs w:val="22"/>
        </w:rPr>
      </w:pPr>
      <w:r>
        <w:rPr>
          <w:rFonts w:eastAsia="Calibri" w:cs="Calibri" w:ascii="Calibri" w:hAnsi="Calibri"/>
          <w:sz w:val="22"/>
          <w:szCs w:val="22"/>
        </w:rPr>
      </w:r>
    </w:p>
    <w:p>
      <w:pPr>
        <w:pStyle w:val="Normal"/>
        <w:spacing w:before="280" w:after="280"/>
        <w:textAlignment w:val="top"/>
        <w:rPr>
          <w:rFonts w:ascii="Calibri" w:hAnsi="Calibri" w:cs="Calibri"/>
          <w:b/>
          <w:sz w:val="22"/>
          <w:szCs w:val="22"/>
          <w:lang w:eastAsia="en-GB"/>
        </w:rPr>
      </w:pPr>
      <w:r>
        <w:rPr>
          <w:rFonts w:cs="Calibri" w:ascii="Calibri" w:hAnsi="Calibri"/>
          <w:b/>
          <w:sz w:val="22"/>
          <w:szCs w:val="22"/>
          <w:lang w:eastAsia="en-GB"/>
        </w:rPr>
        <w:t>As well as making a difference to your community and working for one of the highest performing organisation’s in the country, here are some other reasons we think you should consider a career with us:</w:t>
      </w:r>
    </w:p>
    <w:p>
      <w:pPr>
        <w:pStyle w:val="Normal"/>
        <w:jc w:val="both"/>
        <w:textAlignment w:val="top"/>
        <w:rPr/>
      </w:pPr>
      <w:r>
        <w:rPr>
          <w:rFonts w:eastAsia="Calibri" w:cs="Calibri" w:ascii="Calibri" w:hAnsi="Calibri"/>
          <w:sz w:val="22"/>
          <w:szCs w:val="22"/>
        </w:rPr>
        <w:t xml:space="preserve">Tameside Council and NHS Tameside &amp; Glossop CCG have come together to form one organisation – Tameside &amp; Glossop Strategic Commission. You will have an </w:t>
      </w:r>
      <w:r>
        <w:rPr>
          <w:rFonts w:cs="Calibri" w:ascii="Calibri" w:hAnsi="Calibri"/>
          <w:b/>
          <w:color w:val="FF00FF"/>
          <w:sz w:val="22"/>
          <w:szCs w:val="22"/>
          <w:lang w:eastAsia="en-GB"/>
        </w:rPr>
        <w:t>induction</w:t>
      </w:r>
      <w:r>
        <w:rPr>
          <w:rFonts w:cs="Calibri" w:ascii="Calibri" w:hAnsi="Calibri"/>
          <w:sz w:val="22"/>
          <w:szCs w:val="22"/>
          <w:lang w:eastAsia="en-GB"/>
        </w:rPr>
        <w:t xml:space="preserve"> that will help you to understand what to expect once you start, how the organisation works and how your post contributes towards the Corporate Plan </w:t>
      </w:r>
      <w:r>
        <w:rPr>
          <w:rFonts w:eastAsia="Calibri" w:cs="Calibri" w:ascii="Calibri" w:hAnsi="Calibri"/>
          <w:sz w:val="22"/>
          <w:szCs w:val="22"/>
        </w:rPr>
        <w:t xml:space="preserve">‘Our People Our Place Our Plan’ aims and aspirations for the area. </w:t>
      </w:r>
    </w:p>
    <w:p>
      <w:pPr>
        <w:pStyle w:val="Normal"/>
        <w:jc w:val="both"/>
        <w:textAlignment w:val="top"/>
        <w:rPr>
          <w:rFonts w:ascii="Calibri" w:hAnsi="Calibri" w:eastAsia="Calibri" w:cs="Calibri"/>
          <w:color w:val="333333"/>
          <w:sz w:val="22"/>
          <w:szCs w:val="22"/>
        </w:rPr>
      </w:pPr>
      <w:r>
        <w:rPr>
          <w:rFonts w:eastAsia="Calibri" w:cs="Calibri" w:ascii="Calibri" w:hAnsi="Calibri"/>
          <w:color w:val="333333"/>
          <w:sz w:val="22"/>
          <w:szCs w:val="22"/>
        </w:rPr>
      </w:r>
    </w:p>
    <w:p>
      <w:pPr>
        <w:pStyle w:val="Normal"/>
        <w:jc w:val="both"/>
        <w:textAlignment w:val="top"/>
        <w:rPr/>
      </w:pPr>
      <w:r>
        <w:rPr>
          <w:rFonts w:eastAsia="Calibri" w:cs="Calibri" w:ascii="Calibri" w:hAnsi="Calibri"/>
          <w:sz w:val="22"/>
          <w:szCs w:val="22"/>
        </w:rPr>
        <w:t xml:space="preserve">The plan is structured by life course – Starting Well, Living Well and Ageing Well, underpinned by the idea of ensuring that Tameside &amp; Glossop is a Great Place, and has a Vibrant Economy. Tameside &amp; Glossop Strategic Commission </w:t>
      </w:r>
      <w:r>
        <w:rPr>
          <w:rFonts w:cs="Calibri" w:ascii="Calibri" w:hAnsi="Calibri"/>
          <w:sz w:val="22"/>
          <w:szCs w:val="22"/>
          <w:lang w:eastAsia="en-GB"/>
        </w:rPr>
        <w:t xml:space="preserve">has a genuine </w:t>
      </w:r>
      <w:r>
        <w:rPr>
          <w:rFonts w:cs="Calibri" w:ascii="Calibri" w:hAnsi="Calibri"/>
          <w:b/>
          <w:color w:val="8496B0"/>
          <w:sz w:val="22"/>
          <w:szCs w:val="22"/>
          <w:lang w:eastAsia="en-GB"/>
        </w:rPr>
        <w:t>commitment to equality of opportunity</w:t>
      </w:r>
      <w:r>
        <w:rPr>
          <w:rFonts w:cs="Calibri" w:ascii="Calibri" w:hAnsi="Calibri"/>
          <w:sz w:val="22"/>
          <w:szCs w:val="22"/>
          <w:lang w:eastAsia="en-GB"/>
        </w:rPr>
        <w:t xml:space="preserve"> for its employees and citizens. </w:t>
      </w:r>
    </w:p>
    <w:p>
      <w:pPr>
        <w:pStyle w:val="Normal"/>
        <w:spacing w:before="280" w:after="280"/>
        <w:jc w:val="both"/>
        <w:textAlignment w:val="top"/>
        <w:rPr/>
      </w:pPr>
      <w:r>
        <w:rPr>
          <w:rFonts w:cs="Calibri" w:ascii="Calibri" w:hAnsi="Calibri"/>
          <w:sz w:val="22"/>
          <w:szCs w:val="22"/>
          <w:lang w:eastAsia="en-GB"/>
        </w:rPr>
        <w:t xml:space="preserve">A comprehensive </w:t>
      </w:r>
      <w:r>
        <w:rPr>
          <w:rFonts w:cs="Calibri" w:ascii="Calibri" w:hAnsi="Calibri"/>
          <w:b/>
          <w:color w:val="70AD47"/>
          <w:sz w:val="22"/>
          <w:szCs w:val="22"/>
          <w:lang w:eastAsia="en-GB"/>
        </w:rPr>
        <w:t>workforce development programme</w:t>
      </w:r>
      <w:r>
        <w:rPr>
          <w:rFonts w:cs="Calibri" w:ascii="Calibri" w:hAnsi="Calibri"/>
          <w:sz w:val="22"/>
          <w:szCs w:val="22"/>
          <w:lang w:eastAsia="en-GB"/>
        </w:rPr>
        <w:t xml:space="preserve">, leadership development programme, as well as an aspiring manager programme. </w:t>
      </w:r>
    </w:p>
    <w:p>
      <w:pPr>
        <w:pStyle w:val="Normal"/>
        <w:spacing w:before="280" w:after="280"/>
        <w:jc w:val="both"/>
        <w:textAlignment w:val="top"/>
        <w:rPr/>
      </w:pPr>
      <w:r>
        <w:rPr>
          <w:rFonts w:cs="Calibri" w:ascii="Calibri" w:hAnsi="Calibri"/>
          <w:b/>
          <w:color w:val="92D050"/>
          <w:sz w:val="22"/>
          <w:szCs w:val="22"/>
          <w:lang w:eastAsia="en-GB"/>
        </w:rPr>
        <w:t>Up to 30/33 days leave per year</w:t>
      </w:r>
      <w:r>
        <w:rPr>
          <w:rFonts w:cs="Calibri" w:ascii="Calibri" w:hAnsi="Calibri"/>
          <w:color w:val="92D050"/>
          <w:sz w:val="22"/>
          <w:szCs w:val="22"/>
          <w:lang w:eastAsia="en-GB"/>
        </w:rPr>
        <w:t xml:space="preserve"> </w:t>
      </w:r>
      <w:r>
        <w:rPr>
          <w:rFonts w:cs="Calibri" w:ascii="Calibri" w:hAnsi="Calibri"/>
          <w:sz w:val="22"/>
          <w:szCs w:val="22"/>
          <w:lang w:eastAsia="en-GB"/>
        </w:rPr>
        <w:t xml:space="preserve">depending on pay grade/band, in addition to statutory bank holidays. We also operate a </w:t>
      </w:r>
      <w:r>
        <w:rPr>
          <w:rFonts w:cs="Calibri" w:ascii="Calibri" w:hAnsi="Calibri"/>
          <w:b/>
          <w:color w:val="92D050"/>
          <w:sz w:val="22"/>
          <w:szCs w:val="22"/>
          <w:lang w:eastAsia="en-GB"/>
        </w:rPr>
        <w:t>Holiday Purchase scheme.</w:t>
      </w:r>
    </w:p>
    <w:p>
      <w:pPr>
        <w:pStyle w:val="Normal"/>
        <w:spacing w:before="280" w:after="0"/>
        <w:jc w:val="both"/>
        <w:textAlignment w:val="top"/>
        <w:rPr/>
      </w:pPr>
      <w:r>
        <w:rPr>
          <w:rFonts w:cs="Calibri" w:ascii="Calibri" w:hAnsi="Calibri"/>
          <w:sz w:val="22"/>
          <w:szCs w:val="22"/>
          <w:lang w:eastAsia="en-GB"/>
        </w:rPr>
        <w:t xml:space="preserve">The commitment to improving the </w:t>
      </w:r>
      <w:r>
        <w:rPr>
          <w:rFonts w:cs="Calibri" w:ascii="Calibri" w:hAnsi="Calibri"/>
          <w:b/>
          <w:color w:val="9933FF"/>
          <w:sz w:val="22"/>
          <w:szCs w:val="22"/>
          <w:lang w:eastAsia="en-GB"/>
        </w:rPr>
        <w:t>work-life balance of employees</w:t>
      </w:r>
      <w:r>
        <w:rPr>
          <w:rFonts w:cs="Calibri" w:ascii="Calibri" w:hAnsi="Calibri"/>
          <w:color w:val="FFFF00"/>
          <w:sz w:val="22"/>
          <w:szCs w:val="22"/>
          <w:lang w:eastAsia="en-GB"/>
        </w:rPr>
        <w:t xml:space="preserve"> </w:t>
      </w:r>
      <w:r>
        <w:rPr>
          <w:rFonts w:cs="Calibri" w:ascii="Calibri" w:hAnsi="Calibri"/>
          <w:sz w:val="22"/>
          <w:szCs w:val="22"/>
          <w:lang w:eastAsia="en-GB"/>
        </w:rPr>
        <w:t>with a number of supportive procedures promoting, various types of flexible working. Along with, many family friendly policies in place, including generous schemes covering maternity, paternity, shared parental and adoption leave.</w:t>
      </w:r>
    </w:p>
    <w:p>
      <w:pPr>
        <w:pStyle w:val="Normal"/>
        <w:spacing w:before="280" w:after="280"/>
        <w:jc w:val="both"/>
        <w:textAlignment w:val="top"/>
        <w:rPr/>
      </w:pPr>
      <w:r>
        <w:rPr>
          <w:rFonts w:cs="Calibri" w:ascii="Calibri" w:hAnsi="Calibri"/>
          <w:sz w:val="22"/>
          <w:szCs w:val="22"/>
          <w:lang w:eastAsia="en-GB"/>
        </w:rPr>
        <w:t xml:space="preserve">Tameside Council employees can join the </w:t>
      </w:r>
      <w:r>
        <w:rPr>
          <w:rFonts w:cs="Calibri" w:ascii="Calibri" w:hAnsi="Calibri"/>
          <w:b/>
          <w:color w:val="FF0066"/>
          <w:sz w:val="22"/>
          <w:szCs w:val="22"/>
          <w:lang w:eastAsia="en-GB"/>
        </w:rPr>
        <w:t>Local Government Pension Scheme (LGPS)</w:t>
      </w:r>
      <w:r>
        <w:rPr>
          <w:rFonts w:cs="Calibri" w:ascii="Calibri" w:hAnsi="Calibri"/>
          <w:b/>
          <w:sz w:val="22"/>
          <w:szCs w:val="22"/>
          <w:lang w:eastAsia="en-GB"/>
        </w:rPr>
        <w:t>.</w:t>
      </w:r>
      <w:r>
        <w:rPr>
          <w:rFonts w:cs="Calibri" w:ascii="Calibri" w:hAnsi="Calibri"/>
          <w:b/>
          <w:color w:val="FF0066"/>
          <w:sz w:val="22"/>
          <w:szCs w:val="22"/>
          <w:lang w:eastAsia="en-GB"/>
        </w:rPr>
        <w:t xml:space="preserve"> </w:t>
      </w:r>
      <w:r>
        <w:rPr>
          <w:rFonts w:cs="Calibri" w:ascii="Calibri" w:hAnsi="Calibri"/>
          <w:sz w:val="22"/>
          <w:szCs w:val="22"/>
          <w:lang w:eastAsia="en-GB"/>
        </w:rPr>
        <w:t xml:space="preserve">More information about GMPF and LGPS pensions can be found at </w:t>
      </w:r>
      <w:r>
        <w:rPr>
          <w:rFonts w:cs="Calibri" w:ascii="Calibri" w:hAnsi="Calibri"/>
          <w:sz w:val="22"/>
          <w:szCs w:val="22"/>
          <w:u w:val="single"/>
          <w:lang w:eastAsia="en-GB"/>
        </w:rPr>
        <w:t xml:space="preserve">www.gmpf.org.uk. </w:t>
      </w:r>
      <w:r>
        <w:rPr>
          <w:rFonts w:cs="Calibri" w:ascii="Calibri" w:hAnsi="Calibri"/>
          <w:sz w:val="22"/>
          <w:szCs w:val="22"/>
          <w:lang w:eastAsia="en-GB"/>
        </w:rPr>
        <w:t xml:space="preserve">NHS Tameside and Glossop CCG employees can join the </w:t>
      </w:r>
      <w:r>
        <w:rPr>
          <w:rFonts w:cs="Calibri" w:ascii="Calibri" w:hAnsi="Calibri"/>
          <w:b/>
          <w:color w:val="FF0066"/>
          <w:sz w:val="22"/>
          <w:szCs w:val="22"/>
          <w:lang w:eastAsia="en-GB"/>
        </w:rPr>
        <w:t>NHS Pension Scheme</w:t>
      </w:r>
      <w:r>
        <w:rPr>
          <w:rFonts w:cs="Calibri" w:ascii="Calibri" w:hAnsi="Calibri"/>
          <w:sz w:val="22"/>
          <w:szCs w:val="22"/>
          <w:lang w:eastAsia="en-GB"/>
        </w:rPr>
        <w:t xml:space="preserve">. More information on this scheme </w:t>
      </w:r>
    </w:p>
    <w:p>
      <w:pPr>
        <w:pStyle w:val="Normal"/>
        <w:spacing w:before="280" w:after="280"/>
        <w:jc w:val="both"/>
        <w:textAlignment w:val="top"/>
        <w:rPr/>
      </w:pPr>
      <w:r>
        <w:drawing>
          <wp:anchor behindDoc="1" distT="0" distB="0" distL="114300" distR="114300" simplePos="0" locked="0" layoutInCell="0" allowOverlap="1" relativeHeight="2">
            <wp:simplePos x="0" y="0"/>
            <wp:positionH relativeFrom="margin">
              <wp:posOffset>-516890</wp:posOffset>
            </wp:positionH>
            <wp:positionV relativeFrom="margin">
              <wp:posOffset>-697230</wp:posOffset>
            </wp:positionV>
            <wp:extent cx="7117080" cy="647065"/>
            <wp:effectExtent l="0" t="0" r="0" b="0"/>
            <wp:wrapSquare wrapText="bothSides"/>
            <wp:docPr id="2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
                    <pic:cNvPicPr>
                      <a:picLocks noChangeAspect="1" noChangeArrowheads="1"/>
                    </pic:cNvPicPr>
                  </pic:nvPicPr>
                  <pic:blipFill>
                    <a:blip r:embed="rId5"/>
                    <a:srcRect l="23374" t="84926" r="25679" b="6777"/>
                    <a:stretch>
                      <a:fillRect/>
                    </a:stretch>
                  </pic:blipFill>
                  <pic:spPr bwMode="auto">
                    <a:xfrm>
                      <a:off x="0" y="0"/>
                      <a:ext cx="7117080" cy="647065"/>
                    </a:xfrm>
                    <a:prstGeom prst="rect">
                      <a:avLst/>
                    </a:prstGeom>
                  </pic:spPr>
                </pic:pic>
              </a:graphicData>
            </a:graphic>
          </wp:anchor>
        </w:drawing>
      </w:r>
      <w:r>
        <w:rPr>
          <w:rFonts w:cs="Calibri" w:ascii="Calibri" w:hAnsi="Calibri"/>
          <w:sz w:val="22"/>
          <w:szCs w:val="22"/>
          <w:lang w:eastAsia="en-GB"/>
        </w:rPr>
        <w:t xml:space="preserve">can be found by visiting </w:t>
      </w:r>
      <w:r>
        <w:rPr>
          <w:rFonts w:cs="Calibri" w:ascii="Calibri" w:hAnsi="Calibri"/>
          <w:color w:val="0563C1"/>
          <w:sz w:val="22"/>
          <w:szCs w:val="22"/>
          <w:u w:val="single"/>
          <w:lang w:eastAsia="en-GB"/>
        </w:rPr>
        <w:t>https://www.nhsbsa.nhs.uk/nhs-pensions</w:t>
      </w:r>
      <w:r>
        <w:rPr>
          <w:rFonts w:cs="Calibri" w:ascii="Calibri" w:hAnsi="Calibri"/>
          <w:sz w:val="22"/>
          <w:szCs w:val="22"/>
          <w:lang w:eastAsia="en-GB"/>
        </w:rPr>
        <w:t xml:space="preserve">.  Teachers can join the </w:t>
      </w:r>
      <w:r>
        <w:rPr>
          <w:rFonts w:cs="Calibri" w:ascii="Calibri" w:hAnsi="Calibri"/>
          <w:b/>
          <w:color w:val="FF0066"/>
          <w:sz w:val="22"/>
          <w:szCs w:val="22"/>
          <w:lang w:eastAsia="en-GB"/>
        </w:rPr>
        <w:t>Teachers’ Pension Scheme</w:t>
      </w:r>
      <w:r>
        <w:rPr>
          <w:rFonts w:cs="Calibri" w:ascii="Calibri" w:hAnsi="Calibri"/>
          <w:sz w:val="22"/>
          <w:szCs w:val="22"/>
          <w:lang w:eastAsia="en-GB"/>
        </w:rPr>
        <w:t xml:space="preserve">.  More information on this scheme can be found by visiting </w:t>
      </w:r>
      <w:r>
        <w:rPr>
          <w:rFonts w:cs="Calibri" w:ascii="Calibri" w:hAnsi="Calibri"/>
          <w:sz w:val="22"/>
          <w:szCs w:val="22"/>
          <w:u w:val="single"/>
          <w:lang w:eastAsia="en-GB"/>
        </w:rPr>
        <w:t>www.teacherspensions.co.uk</w:t>
      </w:r>
      <w:r>
        <w:rPr>
          <w:rFonts w:cs="Calibri" w:ascii="Calibri" w:hAnsi="Calibri"/>
          <w:sz w:val="22"/>
          <w:szCs w:val="22"/>
          <w:lang w:eastAsia="en-GB"/>
        </w:rPr>
        <w:t>.</w:t>
      </w:r>
    </w:p>
    <w:p>
      <w:pPr>
        <w:sectPr>
          <w:footerReference w:type="default" r:id="rId6"/>
          <w:footerReference w:type="first" r:id="rId7"/>
          <w:type w:val="nextPage"/>
          <w:pgSz w:w="11906" w:h="16838"/>
          <w:pgMar w:left="1134" w:right="1134" w:gutter="0" w:header="0" w:top="1134" w:footer="709" w:bottom="1134"/>
          <w:pgNumType w:fmt="decimal"/>
          <w:formProt w:val="false"/>
          <w:titlePg/>
          <w:textDirection w:val="lrTb"/>
          <w:docGrid w:type="default" w:linePitch="360" w:charSpace="0"/>
        </w:sectPr>
        <w:pStyle w:val="Normal"/>
        <w:spacing w:before="0" w:after="280"/>
        <w:textAlignment w:val="top"/>
        <w:rPr/>
      </w:pPr>
      <w:r>
        <w:rPr>
          <w:rFonts w:eastAsia="Calibri" w:cs="Calibri" w:ascii="Calibri" w:hAnsi="Calibri"/>
          <w:sz w:val="22"/>
          <w:szCs w:val="22"/>
        </w:rPr>
        <w:t>Tameside &amp; Glossop Strategic Commission</w:t>
      </w:r>
      <w:r>
        <w:rPr>
          <w:rFonts w:cs="Calibri" w:ascii="Calibri" w:hAnsi="Calibri"/>
          <w:sz w:val="22"/>
          <w:szCs w:val="22"/>
          <w:lang w:eastAsia="en-GB"/>
        </w:rPr>
        <w:t xml:space="preserve"> offers a range of salary sacrifice schemes, plus a number of other </w:t>
      </w:r>
      <w:r>
        <w:rPr>
          <w:rFonts w:cs="Calibri" w:ascii="Calibri" w:hAnsi="Calibri"/>
          <w:b/>
          <w:color w:val="00CCFF"/>
          <w:sz w:val="22"/>
          <w:szCs w:val="22"/>
          <w:lang w:eastAsia="en-GB"/>
        </w:rPr>
        <w:t>staff benefits</w:t>
      </w:r>
      <w:r>
        <w:rPr>
          <w:rFonts w:cs="Calibri" w:ascii="Calibri" w:hAnsi="Calibri"/>
          <w:sz w:val="22"/>
          <w:szCs w:val="22"/>
          <w:lang w:eastAsia="en-GB"/>
        </w:rPr>
        <w:t xml:space="preserve"> including discounts at local shops, restaurants, health and fitness clubs and much more.</w:t>
      </w:r>
      <w:r>
        <w:rPr>
          <w:rFonts w:eastAsia="Calibri" w:cs="Calibri" w:ascii="Calibri" w:hAnsi="Calibri"/>
          <w:b/>
          <w:sz w:val="22"/>
          <w:szCs w:val="22"/>
        </w:rPr>
        <w:t xml:space="preserve"> </w:t>
      </w:r>
    </w:p>
    <w:p>
      <w:pPr>
        <w:pStyle w:val="Normal"/>
        <w:rPr/>
      </w:pPr>
      <w:r>
        <w:rPr/>
      </w:r>
    </w:p>
    <w:sectPr>
      <w:footerReference w:type="default" r:id="rId8"/>
      <w:footerReference w:type="first" r:id="rId9"/>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8</w:t>
    </w:r>
    <w:r>
      <w:rPr>
        <w:sz w:val="22"/>
        <w:szCs w:val="22"/>
        <w:rFonts w:cs="Arial" w:ascii="Arial" w:hAnsi="Arial"/>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1</w:t>
    </w:r>
    <w:r>
      <w:rPr>
        <w:sz w:val="22"/>
        <w:szCs w:val="22"/>
        <w:rFonts w:cs="Arial" w:ascii="Arial" w:hAnsi="Arial"/>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xml:space="preserve"> PAGE </w:instrText>
    </w:r>
    <w:r>
      <w:rPr>
        <w:sz w:val="22"/>
        <w:szCs w:val="22"/>
        <w:rFonts w:cs="Arial" w:ascii="Arial" w:hAnsi="Arial"/>
      </w:rPr>
      <w:fldChar w:fldCharType="separate"/>
    </w:r>
    <w:r>
      <w:rPr>
        <w:sz w:val="22"/>
        <w:szCs w:val="22"/>
        <w:rFonts w:cs="Arial" w:ascii="Arial" w:hAnsi="Arial"/>
      </w:rPr>
      <w:t>9</w:t>
    </w:r>
    <w:r>
      <w:rPr>
        <w:sz w:val="22"/>
        <w:szCs w:val="22"/>
        <w:rFonts w:cs="Arial" w:ascii="Arial" w:hAnsi="Arial"/>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cs="Symbol"/>
      <w:sz w:val="22"/>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cs="Symbol"/>
      <w:sz w:val="22"/>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rFonts w:ascii="Symbol" w:hAnsi="Symbol" w:cs="Symbol"/>
      <w:sz w:val="22"/>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rFonts w:ascii="Symbol" w:hAnsi="Symbol" w:cs="Symbol"/>
      <w:sz w:val="22"/>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2"/>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rFonts w:ascii="Symbol" w:hAnsi="Symbol" w:cs="Symbol"/>
      <w:sz w:val="22"/>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Hyperlink">
    <w:name w:val="Hyperlink"/>
    <w:rPr>
      <w:color w:val="0000FF"/>
      <w:u w:val="single"/>
    </w:rPr>
  </w:style>
  <w:style w:type="character" w:styleId="Strong">
    <w:name w:val="Strong"/>
    <w:basedOn w:val="DefaultParagraphFont"/>
    <w:qFormat/>
    <w:rPr>
      <w:b/>
      <w:bCs/>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annotationreference">
    <w:name w:val="annotation reference"/>
    <w:basedOn w:val="DefaultParagraphFont"/>
    <w:qFormat/>
    <w:rPr>
      <w:sz w:val="16"/>
      <w:szCs w:val="16"/>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hanging="0" w:left="720" w:right="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NormalWeb">
    <w:name w:val="Normal (Web)"/>
    <w:basedOn w:val="Normal"/>
    <w:qFormat/>
    <w:pPr>
      <w:spacing w:before="280" w:after="280"/>
    </w:pPr>
    <w:rPr>
      <w:sz w:val="24"/>
      <w:szCs w:val="24"/>
      <w:lang w:eastAsia="en-GB"/>
    </w:rPr>
  </w:style>
  <w:style w:type="paragraph" w:styleId="annotationtext">
    <w:name w:val="annotation text"/>
    <w:basedOn w:val="Normal"/>
    <w:qFormat/>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