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Cs/>
          <w:sz w:val="22"/>
          <w:szCs w:val="22"/>
        </w:rPr>
      </w:pPr>
      <w:r>
        <w:rPr>
          <w:rFonts w:cs="Arial" w:ascii="Arial" w:hAnsi="Arial"/>
          <w:b/>
          <w:bCs/>
          <w:sz w:val="22"/>
          <w:szCs w:val="22"/>
        </w:rPr>
      </w:r>
    </w:p>
    <w:tbl>
      <w:tblPr>
        <w:tblW w:w="9606" w:type="dxa"/>
        <w:jc w:val="left"/>
        <w:tblInd w:w="108" w:type="dxa"/>
        <w:tblLayout w:type="fixed"/>
        <w:tblCellMar>
          <w:top w:w="0" w:type="dxa"/>
          <w:left w:w="108" w:type="dxa"/>
          <w:bottom w:w="0" w:type="dxa"/>
          <w:right w:w="108" w:type="dxa"/>
        </w:tblCellMar>
      </w:tblPr>
      <w:tblGrid>
        <w:gridCol w:w="1980"/>
        <w:gridCol w:w="7626"/>
      </w:tblGrid>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Title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Family Hub Worker</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ID</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E61</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Service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Children’s Services</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Grade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E</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Reporting to</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Team Manager for Early Years</w:t>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The Role</w:t>
            </w:r>
          </w:p>
        </w:tc>
      </w:tr>
      <w:tr>
        <w:trPr>
          <w:trHeight w:val="331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pacing w:lineRule="auto" w:line="240" w:before="0" w:after="0"/>
              <w:rPr>
                <w:rFonts w:ascii="Arial" w:hAnsi="Arial" w:eastAsia="Calibri" w:cs="Arial"/>
                <w:sz w:val="22"/>
                <w:szCs w:val="22"/>
              </w:rPr>
            </w:pPr>
            <w:r>
              <w:rPr>
                <w:rFonts w:eastAsia="Calibri" w:cs="Arial" w:ascii="Arial" w:hAnsi="Arial"/>
                <w:sz w:val="22"/>
                <w:szCs w:val="22"/>
              </w:rPr>
              <w:t>To support the development of a range of high quality, play, learning and family support both within local authority settings and family homes.</w:t>
            </w:r>
          </w:p>
          <w:p>
            <w:pPr>
              <w:pStyle w:val="Normal"/>
              <w:spacing w:lineRule="auto" w:line="240" w:before="0" w:after="0"/>
              <w:rPr>
                <w:rFonts w:ascii="Arial" w:hAnsi="Arial" w:eastAsia="Calibri" w:cs="Arial"/>
                <w:sz w:val="22"/>
                <w:szCs w:val="22"/>
              </w:rPr>
            </w:pPr>
            <w:r>
              <w:rPr>
                <w:rFonts w:eastAsia="Calibri" w:cs="Arial" w:ascii="Arial" w:hAnsi="Arial"/>
                <w:sz w:val="22"/>
                <w:szCs w:val="22"/>
              </w:rPr>
              <w:t>To support families to engage in local Early Years provision.</w:t>
            </w:r>
          </w:p>
          <w:p>
            <w:pPr>
              <w:pStyle w:val="Normal"/>
              <w:spacing w:lineRule="auto" w:line="240" w:before="0" w:after="0"/>
              <w:rPr>
                <w:rFonts w:ascii="Arial" w:hAnsi="Arial" w:eastAsia="Calibri" w:cs="Arial"/>
                <w:sz w:val="22"/>
                <w:szCs w:val="22"/>
              </w:rPr>
            </w:pPr>
            <w:r>
              <w:rPr>
                <w:rFonts w:eastAsia="Calibri" w:cs="Arial" w:ascii="Arial" w:hAnsi="Arial"/>
                <w:sz w:val="22"/>
                <w:szCs w:val="22"/>
              </w:rPr>
              <w:t>Think of creative and appropriate ways to promote services and engage those families who are most in need.</w:t>
            </w:r>
          </w:p>
          <w:p>
            <w:pPr>
              <w:pStyle w:val="Normal"/>
              <w:spacing w:lineRule="auto" w:line="240" w:before="0" w:after="0"/>
              <w:rPr>
                <w:rFonts w:ascii="Arial" w:hAnsi="Arial" w:eastAsia="Calibri" w:cs="Arial"/>
                <w:sz w:val="22"/>
                <w:szCs w:val="22"/>
              </w:rPr>
            </w:pPr>
            <w:r>
              <w:rPr>
                <w:rFonts w:eastAsia="Calibri" w:cs="Arial" w:ascii="Arial" w:hAnsi="Arial"/>
                <w:sz w:val="22"/>
                <w:szCs w:val="22"/>
              </w:rPr>
              <w:t>Work hard to establish links with other agencies, especially health and community groups, in order to engage with families.</w:t>
            </w:r>
          </w:p>
          <w:p>
            <w:pPr>
              <w:pStyle w:val="Normal"/>
              <w:spacing w:lineRule="auto" w:line="240" w:before="0" w:after="0"/>
              <w:rPr>
                <w:rFonts w:ascii="Arial" w:hAnsi="Arial" w:eastAsia="Calibri" w:cs="Arial"/>
                <w:sz w:val="22"/>
                <w:szCs w:val="22"/>
              </w:rPr>
            </w:pPr>
            <w:r>
              <w:rPr>
                <w:rFonts w:eastAsia="Calibri" w:cs="Arial" w:ascii="Arial" w:hAnsi="Arial"/>
                <w:sz w:val="22"/>
                <w:szCs w:val="22"/>
              </w:rPr>
              <w:t>Have a sound knowledge of available services to signpost parents effectively.</w:t>
            </w:r>
          </w:p>
          <w:p>
            <w:pPr>
              <w:pStyle w:val="Normal"/>
              <w:spacing w:lineRule="auto" w:line="240" w:before="120" w:after="0"/>
              <w:jc w:val="both"/>
              <w:rPr>
                <w:rFonts w:ascii="Arial" w:hAnsi="Arial" w:cs="Arial"/>
                <w:b/>
                <w:sz w:val="22"/>
                <w:szCs w:val="22"/>
              </w:rPr>
            </w:pPr>
            <w:r>
              <w:rPr>
                <w:rFonts w:cs="Arial" w:ascii="Arial" w:hAnsi="Arial"/>
                <w:b/>
                <w:sz w:val="22"/>
                <w:szCs w:val="22"/>
              </w:rPr>
              <w:t>Main Duties and Responsibilities include:</w:t>
            </w:r>
          </w:p>
          <w:p>
            <w:pPr>
              <w:pStyle w:val="Default"/>
              <w:spacing w:lineRule="auto" w:line="240" w:before="0" w:after="0"/>
              <w:ind w:left="780" w:right="0"/>
              <w:rPr>
                <w:sz w:val="22"/>
                <w:szCs w:val="22"/>
                <w:highlight w:val="yellow"/>
              </w:rPr>
            </w:pPr>
            <w:r>
              <w:rPr>
                <w:sz w:val="22"/>
                <w:szCs w:val="22"/>
                <w:highlight w:val="yellow"/>
              </w:rPr>
            </w:r>
          </w:p>
          <w:p>
            <w:pPr>
              <w:pStyle w:val="BodyText"/>
              <w:numPr>
                <w:ilvl w:val="0"/>
                <w:numId w:val="5"/>
              </w:numPr>
              <w:spacing w:lineRule="auto" w:line="240" w:before="0" w:after="0"/>
              <w:rPr/>
            </w:pPr>
            <w:r>
              <w:rPr>
                <w:b w:val="false"/>
                <w:sz w:val="22"/>
                <w:szCs w:val="22"/>
              </w:rPr>
              <w:t>To develop and deliver a range of evidence-based play, parenting, health, learning and childcare interventions for children and their families add in aged 0 -19 and 25 with SEND.</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undertake assessments with families to identify need and support them to reach their full potential.</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keep appropriate records for the purpose of monitoring and evaluating the impact of services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the local delivery of Early Help Support services and ensure services are accessible to those families in need.</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parents of all children and young people in identifying local need, service gaps and service options to help bridge these gaps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work as part of a team to promote Tameside Early Years and Early Help offer in the community</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the school readiness and Early Years specialist and work with relevant colleagues to develop quality provision that improves children’s readiness for school, both within the community and home.</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establish and deliver crèche provision as required, in line with OFSTED.</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assist with the early identification of children and young people with additional needs and help families access support</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supervise and support students’ roles within the team</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and signpost parents/carers into available local, borough wide and specialist services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work with other Tameside services, to support and advise parents in accessing  training and employment opportunities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receive supervision from an identified person and to undertake professional training as required</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be aware of and respond positively to any new developments with regards to services promoting early intervention, prevention, learning and development for young children and their families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work flexibly as the service requires, including the occasional evenings and weekends.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carry out other duties that correspond to the general character of the post and commensurate with its level of responsibility</w:t>
            </w:r>
          </w:p>
          <w:p>
            <w:pPr>
              <w:pStyle w:val="BodyText"/>
              <w:spacing w:lineRule="auto" w:line="240" w:before="0" w:after="0"/>
              <w:ind w:left="720" w:right="0"/>
              <w:rPr>
                <w:b w:val="false"/>
                <w:sz w:val="22"/>
                <w:szCs w:val="22"/>
              </w:rPr>
            </w:pPr>
            <w:r>
              <w:rPr>
                <w:b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rPr>
      </w:pPr>
      <w:r>
        <w:rPr>
          <w:rFonts w:eastAsia="Calibri" w:cs="Arial" w:ascii="Arial" w:hAnsi="Arial"/>
          <w:b/>
        </w:rPr>
      </w:r>
    </w:p>
    <w:p>
      <w:pPr>
        <w:pStyle w:val="Normal"/>
        <w:spacing w:lineRule="auto" w:line="276"/>
        <w:jc w:val="both"/>
        <w:rPr>
          <w:rFonts w:ascii="Arial" w:hAnsi="Arial" w:eastAsia="Calibri" w:cs="Arial"/>
          <w:b/>
        </w:rPr>
      </w:pPr>
      <w:r>
        <w:rPr>
          <w:rFonts w:eastAsia="Calibri" w:cs="Arial" w:ascii="Arial" w:hAnsi="Arial"/>
          <w:b/>
        </w:rPr>
      </w:r>
    </w:p>
    <w:tbl>
      <w:tblPr>
        <w:tblW w:w="9475" w:type="dxa"/>
        <w:jc w:val="left"/>
        <w:tblInd w:w="108" w:type="dxa"/>
        <w:tblLayout w:type="fixed"/>
        <w:tblCellMar>
          <w:top w:w="0" w:type="dxa"/>
          <w:left w:w="108" w:type="dxa"/>
          <w:bottom w:w="0" w:type="dxa"/>
          <w:right w:w="108" w:type="dxa"/>
        </w:tblCellMar>
      </w:tblPr>
      <w:tblGrid>
        <w:gridCol w:w="9475"/>
      </w:tblGrid>
      <w:tr>
        <w:trPr>
          <w:trHeight w:val="265" w:hRule="atLeast"/>
        </w:trPr>
        <w:tc>
          <w:tcPr>
            <w:tcW w:w="9475"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rPr>
            </w:pPr>
            <w:r>
              <w:rPr>
                <w:rFonts w:eastAsia="Calibri" w:cs="Arial" w:ascii="Arial" w:hAnsi="Arial"/>
                <w:b/>
              </w:rPr>
              <w:t>About You</w:t>
            </w:r>
          </w:p>
        </w:tc>
      </w:tr>
      <w:tr>
        <w:trPr>
          <w:trHeight w:val="523" w:hRule="atLeast"/>
        </w:trPr>
        <w:tc>
          <w:tcPr>
            <w:tcW w:w="9475" w:type="dxa"/>
            <w:tcBorders>
              <w:top w:val="single" w:sz="18" w:space="0" w:color="70AD47"/>
              <w:left w:val="single" w:sz="18" w:space="0" w:color="70AD47"/>
              <w:bottom w:val="single" w:sz="18" w:space="0" w:color="70AD47"/>
              <w:right w:val="single" w:sz="18" w:space="0" w:color="70AD47"/>
            </w:tcBorders>
          </w:tcPr>
          <w:p>
            <w:pPr>
              <w:pStyle w:val="Normal"/>
              <w:spacing w:lineRule="auto" w:line="240" w:before="0" w:after="0"/>
              <w:rPr>
                <w:rFonts w:ascii="Arial" w:hAnsi="Arial" w:eastAsia="Calibri" w:cs="Arial"/>
                <w:b/>
              </w:rPr>
            </w:pPr>
            <w:r>
              <w:rPr>
                <w:rFonts w:eastAsia="Calibri" w:cs="Arial" w:ascii="Arial" w:hAnsi="Arial"/>
                <w:b/>
              </w:rPr>
              <w:t>Your essential qualifications</w:t>
            </w:r>
          </w:p>
          <w:p>
            <w:pPr>
              <w:pStyle w:val="Normal"/>
              <w:spacing w:lineRule="auto" w:line="240" w:before="0" w:after="0"/>
              <w:rPr>
                <w:rFonts w:ascii="Arial" w:hAnsi="Arial" w:eastAsia="Calibri" w:cs="Arial"/>
                <w:b/>
              </w:rPr>
            </w:pPr>
            <w:r>
              <w:rPr>
                <w:rFonts w:eastAsia="Calibri" w:cs="Arial" w:ascii="Arial" w:hAnsi="Arial"/>
                <w:b/>
              </w:rPr>
            </w:r>
          </w:p>
          <w:p>
            <w:pPr>
              <w:pStyle w:val="ListParagraph"/>
              <w:numPr>
                <w:ilvl w:val="0"/>
                <w:numId w:val="3"/>
              </w:numPr>
              <w:spacing w:lineRule="auto" w:line="240" w:before="0" w:after="0"/>
              <w:contextualSpacing/>
              <w:rPr/>
            </w:pPr>
            <w:r>
              <w:rPr>
                <w:rFonts w:eastAsia="Calibri"/>
                <w:bCs/>
              </w:rPr>
              <w:t xml:space="preserve">Recognised childcare qualification- NVQ Level 3 or above, or equivalent </w:t>
            </w:r>
          </w:p>
          <w:p>
            <w:pPr>
              <w:pStyle w:val="ListParagraph"/>
              <w:numPr>
                <w:ilvl w:val="0"/>
                <w:numId w:val="3"/>
              </w:numPr>
              <w:spacing w:lineRule="auto" w:line="240" w:before="0" w:after="0"/>
              <w:contextualSpacing/>
              <w:rPr/>
            </w:pPr>
            <w:r>
              <w:rPr>
                <w:rFonts w:eastAsia="Calibri"/>
                <w:bCs/>
              </w:rPr>
              <w:t>GCSE Maths and English at Grade C or above</w:t>
            </w:r>
          </w:p>
          <w:p>
            <w:pPr>
              <w:pStyle w:val="NoSpacing"/>
              <w:spacing w:lineRule="auto" w:line="240" w:before="0" w:after="0"/>
              <w:rPr>
                <w:rFonts w:ascii="Arial" w:hAnsi="Arial" w:cs="Arial"/>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sz w:val="20"/>
                <w:szCs w:val="20"/>
              </w:rPr>
            </w:pPr>
            <w:r>
              <w:rPr>
                <w:rFonts w:cs="Arial" w:ascii="Arial" w:hAnsi="Arial"/>
                <w:b/>
                <w:sz w:val="20"/>
                <w:szCs w:val="20"/>
              </w:rPr>
            </w:r>
          </w:p>
          <w:p>
            <w:pPr>
              <w:pStyle w:val="NoSpacing"/>
              <w:numPr>
                <w:ilvl w:val="0"/>
                <w:numId w:val="3"/>
              </w:numPr>
              <w:spacing w:lineRule="auto" w:line="240" w:before="0" w:after="0"/>
              <w:rPr/>
            </w:pPr>
            <w:r>
              <w:rPr>
                <w:rFonts w:cs="Arial" w:ascii="Arial" w:hAnsi="Arial"/>
                <w:bCs/>
              </w:rPr>
              <w:t>Experience of planning, organisation and delivery in the EYFS</w:t>
            </w:r>
          </w:p>
          <w:p>
            <w:pPr>
              <w:pStyle w:val="NoSpacing"/>
              <w:numPr>
                <w:ilvl w:val="0"/>
                <w:numId w:val="3"/>
              </w:numPr>
              <w:spacing w:lineRule="auto" w:line="240" w:before="0" w:after="0"/>
              <w:rPr/>
            </w:pPr>
            <w:r>
              <w:rPr>
                <w:rFonts w:cs="Arial" w:ascii="Arial" w:hAnsi="Arial"/>
                <w:bCs/>
              </w:rPr>
              <w:t>Experience of working closely with parents and engaging them in their child’s learning/development</w:t>
            </w:r>
          </w:p>
          <w:p>
            <w:pPr>
              <w:pStyle w:val="NoSpacing"/>
              <w:numPr>
                <w:ilvl w:val="0"/>
                <w:numId w:val="3"/>
              </w:numPr>
              <w:spacing w:lineRule="auto" w:line="240" w:before="0" w:after="0"/>
              <w:rPr/>
            </w:pPr>
            <w:r>
              <w:rPr>
                <w:rFonts w:cs="Arial" w:ascii="Arial" w:hAnsi="Arial"/>
                <w:bCs/>
              </w:rPr>
              <w:t>Experience of working as part of a multi-agency team</w:t>
            </w:r>
          </w:p>
          <w:p>
            <w:pPr>
              <w:pStyle w:val="NoSpacing"/>
              <w:numPr>
                <w:ilvl w:val="0"/>
                <w:numId w:val="3"/>
              </w:numPr>
              <w:spacing w:lineRule="auto" w:line="240" w:before="0" w:after="0"/>
              <w:rPr/>
            </w:pPr>
            <w:r>
              <w:rPr>
                <w:rFonts w:cs="Arial" w:ascii="Arial" w:hAnsi="Arial"/>
                <w:bCs/>
              </w:rPr>
              <w:t>Experience in delivering a range of high-quality learning experiences</w:t>
            </w:r>
          </w:p>
          <w:p>
            <w:pPr>
              <w:pStyle w:val="NoSpacing"/>
              <w:numPr>
                <w:ilvl w:val="0"/>
                <w:numId w:val="3"/>
              </w:numPr>
              <w:spacing w:lineRule="auto" w:line="240" w:before="0" w:after="0"/>
              <w:rPr/>
            </w:pPr>
            <w:r>
              <w:rPr>
                <w:rFonts w:cs="Arial" w:ascii="Arial" w:hAnsi="Arial"/>
                <w:bCs/>
              </w:rPr>
              <w:t>Experience of delivering parenting training</w:t>
            </w:r>
          </w:p>
          <w:p>
            <w:pPr>
              <w:pStyle w:val="NoSpacing"/>
              <w:numPr>
                <w:ilvl w:val="0"/>
                <w:numId w:val="3"/>
              </w:numPr>
              <w:spacing w:lineRule="auto" w:line="240" w:before="0" w:after="0"/>
              <w:rPr/>
            </w:pPr>
            <w:r>
              <w:rPr>
                <w:rFonts w:cs="Arial" w:ascii="Arial" w:hAnsi="Arial"/>
                <w:bCs/>
              </w:rPr>
              <w:t>Experience of delivery of evidence-based children and parenting sessions</w:t>
            </w:r>
          </w:p>
          <w:p>
            <w:pPr>
              <w:pStyle w:val="NoSpacing"/>
              <w:spacing w:lineRule="auto" w:line="240" w:before="0" w:after="0"/>
              <w:rPr>
                <w:rFonts w:ascii="Arial" w:hAnsi="Arial" w:cs="Arial"/>
                <w:bCs/>
              </w:rPr>
            </w:pPr>
            <w:r>
              <w:rPr>
                <w:rFonts w:cs="Arial" w:ascii="Arial" w:hAnsi="Arial"/>
                <w:bCs/>
              </w:rPr>
            </w:r>
          </w:p>
          <w:p>
            <w:pPr>
              <w:pStyle w:val="NoSpacing"/>
              <w:numPr>
                <w:ilvl w:val="0"/>
                <w:numId w:val="3"/>
              </w:numPr>
              <w:spacing w:lineRule="auto" w:line="240" w:before="0" w:after="0"/>
              <w:rPr/>
            </w:pPr>
            <w:r>
              <w:rPr>
                <w:rFonts w:cs="Arial" w:ascii="Arial" w:hAnsi="Arial"/>
                <w:bCs/>
              </w:rPr>
              <w:t>Ability to work in a positive and flexible manner with children, their families and other agencies</w:t>
            </w:r>
          </w:p>
          <w:p>
            <w:pPr>
              <w:pStyle w:val="NoSpacing"/>
              <w:numPr>
                <w:ilvl w:val="0"/>
                <w:numId w:val="3"/>
              </w:numPr>
              <w:spacing w:lineRule="auto" w:line="240" w:before="0" w:after="0"/>
              <w:rPr/>
            </w:pPr>
            <w:r>
              <w:rPr>
                <w:rFonts w:cs="Arial" w:ascii="Arial" w:hAnsi="Arial"/>
                <w:bCs/>
              </w:rPr>
              <w:t>Ability to communicate effectively both individually and within groups</w:t>
            </w:r>
          </w:p>
          <w:p>
            <w:pPr>
              <w:pStyle w:val="NoSpacing"/>
              <w:numPr>
                <w:ilvl w:val="0"/>
                <w:numId w:val="3"/>
              </w:numPr>
              <w:spacing w:lineRule="auto" w:line="240" w:before="0" w:after="0"/>
              <w:rPr/>
            </w:pPr>
            <w:r>
              <w:rPr>
                <w:rFonts w:cs="Arial" w:ascii="Arial" w:hAnsi="Arial"/>
                <w:bCs/>
              </w:rPr>
              <w:t xml:space="preserve">Ability to initiate, develop and evaluate activity linked to local need and demand </w:t>
            </w:r>
          </w:p>
          <w:p>
            <w:pPr>
              <w:pStyle w:val="NoSpacing"/>
              <w:numPr>
                <w:ilvl w:val="0"/>
                <w:numId w:val="3"/>
              </w:numPr>
              <w:spacing w:lineRule="auto" w:line="240" w:before="0" w:after="0"/>
              <w:rPr/>
            </w:pPr>
            <w:r>
              <w:rPr>
                <w:rFonts w:cs="Arial" w:ascii="Arial" w:hAnsi="Arial"/>
                <w:bCs/>
              </w:rPr>
              <w:t>Ability to assess risk and promote anti-discriminatory and anti-oppressive practice</w:t>
            </w:r>
          </w:p>
          <w:p>
            <w:pPr>
              <w:pStyle w:val="NoSpacing"/>
              <w:numPr>
                <w:ilvl w:val="0"/>
                <w:numId w:val="3"/>
              </w:numPr>
              <w:spacing w:lineRule="auto" w:line="240" w:before="0" w:after="0"/>
              <w:rPr/>
            </w:pPr>
            <w:r>
              <w:rPr>
                <w:rFonts w:cs="Arial" w:ascii="Arial" w:hAnsi="Arial"/>
                <w:bCs/>
              </w:rPr>
              <w:t>Ability to motivate to consistently achieve high standards in the EYFS</w:t>
            </w:r>
          </w:p>
          <w:p>
            <w:pPr>
              <w:pStyle w:val="NoSpacing"/>
              <w:numPr>
                <w:ilvl w:val="0"/>
                <w:numId w:val="3"/>
              </w:numPr>
              <w:spacing w:lineRule="auto" w:line="240" w:before="0" w:after="0"/>
              <w:rPr/>
            </w:pPr>
            <w:r>
              <w:rPr>
                <w:rFonts w:cs="Arial" w:ascii="Arial" w:hAnsi="Arial"/>
                <w:bCs/>
              </w:rPr>
              <w:t>Capacity to respond to a range of individual children’s needs with sensitivity to vulnerable children/ families or those with SEN</w:t>
            </w:r>
          </w:p>
          <w:p>
            <w:pPr>
              <w:pStyle w:val="NoSpacing"/>
              <w:numPr>
                <w:ilvl w:val="0"/>
                <w:numId w:val="3"/>
              </w:numPr>
              <w:spacing w:lineRule="auto" w:line="240" w:before="0" w:after="0"/>
              <w:rPr/>
            </w:pPr>
            <w:r>
              <w:rPr>
                <w:rFonts w:cs="Arial" w:ascii="Arial" w:hAnsi="Arial"/>
                <w:bCs/>
              </w:rPr>
              <w:t>Open, honest and sensitive approach</w:t>
            </w:r>
          </w:p>
          <w:p>
            <w:pPr>
              <w:pStyle w:val="NoSpacing"/>
              <w:numPr>
                <w:ilvl w:val="0"/>
                <w:numId w:val="3"/>
              </w:numPr>
              <w:spacing w:lineRule="auto" w:line="240" w:before="0" w:after="0"/>
              <w:rPr/>
            </w:pPr>
            <w:r>
              <w:rPr>
                <w:rFonts w:cs="Arial" w:ascii="Arial" w:hAnsi="Arial"/>
                <w:bCs/>
              </w:rPr>
              <w:t>To have good I.T. skills and an ability to use a range of Microsoft software.</w:t>
            </w:r>
          </w:p>
          <w:p>
            <w:pPr>
              <w:pStyle w:val="NoSpacing"/>
              <w:spacing w:lineRule="auto" w:line="240" w:before="0" w:after="0"/>
              <w:rPr>
                <w:rFonts w:ascii="Arial" w:hAnsi="Arial" w:cs="Arial"/>
                <w:bCs/>
              </w:rPr>
            </w:pPr>
            <w:r>
              <w:rPr>
                <w:rFonts w:cs="Arial" w:ascii="Arial" w:hAnsi="Arial"/>
                <w:bCs/>
              </w:rPr>
            </w:r>
          </w:p>
          <w:p>
            <w:pPr>
              <w:pStyle w:val="NoSpacing"/>
              <w:numPr>
                <w:ilvl w:val="0"/>
                <w:numId w:val="3"/>
              </w:numPr>
              <w:spacing w:lineRule="auto" w:line="240" w:before="0" w:after="0"/>
              <w:rPr/>
            </w:pPr>
            <w:r>
              <w:rPr>
                <w:rFonts w:cs="Arial" w:ascii="Arial" w:hAnsi="Arial"/>
                <w:bCs/>
              </w:rPr>
              <w:t>Understanding of the aims and objectives of Family Hubs and statutory guidance on the offer</w:t>
            </w:r>
          </w:p>
          <w:p>
            <w:pPr>
              <w:pStyle w:val="NoSpacing"/>
              <w:numPr>
                <w:ilvl w:val="0"/>
                <w:numId w:val="3"/>
              </w:numPr>
              <w:spacing w:lineRule="auto" w:line="240" w:before="0" w:after="0"/>
              <w:rPr/>
            </w:pPr>
            <w:r>
              <w:rPr>
                <w:rFonts w:cs="Arial" w:ascii="Arial" w:hAnsi="Arial"/>
                <w:bCs/>
              </w:rPr>
              <w:t>Knowledge and understanding of the ages and stages of child development</w:t>
            </w:r>
          </w:p>
          <w:p>
            <w:pPr>
              <w:pStyle w:val="NoSpacing"/>
              <w:numPr>
                <w:ilvl w:val="0"/>
                <w:numId w:val="3"/>
              </w:numPr>
              <w:spacing w:lineRule="auto" w:line="240" w:before="0" w:after="0"/>
              <w:rPr/>
            </w:pPr>
            <w:r>
              <w:rPr>
                <w:rFonts w:cs="Arial" w:ascii="Arial" w:hAnsi="Arial"/>
                <w:bCs/>
              </w:rPr>
              <w:t xml:space="preserve">Knowledge and understanding of the Statutory Guidance for the Early Years Foundation Stage </w:t>
            </w:r>
          </w:p>
          <w:p>
            <w:pPr>
              <w:pStyle w:val="NoSpacing"/>
              <w:numPr>
                <w:ilvl w:val="0"/>
                <w:numId w:val="3"/>
              </w:numPr>
              <w:spacing w:lineRule="auto" w:line="240" w:before="0" w:after="0"/>
              <w:rPr/>
            </w:pPr>
            <w:r>
              <w:rPr>
                <w:rFonts w:cs="Arial" w:ascii="Arial" w:hAnsi="Arial"/>
                <w:bCs/>
              </w:rPr>
              <w:t>Knowledge of Early Support Programme and evidence-based interventions</w:t>
            </w:r>
          </w:p>
          <w:p>
            <w:pPr>
              <w:pStyle w:val="NoSpacing"/>
              <w:numPr>
                <w:ilvl w:val="0"/>
                <w:numId w:val="3"/>
              </w:numPr>
              <w:spacing w:lineRule="auto" w:line="240" w:before="0" w:after="0"/>
              <w:rPr/>
            </w:pPr>
            <w:r>
              <w:rPr>
                <w:rFonts w:cs="Arial" w:ascii="Arial" w:hAnsi="Arial"/>
                <w:bCs/>
              </w:rPr>
              <w:t>Knowledge and understanding of OFSTED National Standards</w:t>
            </w:r>
          </w:p>
          <w:p>
            <w:pPr>
              <w:pStyle w:val="NoSpacing"/>
              <w:numPr>
                <w:ilvl w:val="0"/>
                <w:numId w:val="3"/>
              </w:numPr>
              <w:spacing w:lineRule="auto" w:line="240" w:before="0" w:after="0"/>
              <w:rPr/>
            </w:pPr>
            <w:r>
              <w:rPr>
                <w:rFonts w:cs="Arial" w:ascii="Arial" w:hAnsi="Arial"/>
                <w:bCs/>
              </w:rPr>
              <w:t>Knowledge and understanding of Safeguarding/ Child Protection Procedures</w:t>
            </w:r>
          </w:p>
          <w:p>
            <w:pPr>
              <w:pStyle w:val="NoSpacing"/>
              <w:spacing w:lineRule="auto" w:line="240" w:before="0" w:after="0"/>
              <w:rPr>
                <w:rFonts w:ascii="Arial" w:hAnsi="Arial" w:cs="Arial"/>
                <w:bCs/>
              </w:rPr>
            </w:pPr>
            <w:r>
              <w:rPr>
                <w:rFonts w:cs="Arial" w:ascii="Arial" w:hAnsi="Arial"/>
                <w:bCs/>
              </w:rPr>
            </w:r>
          </w:p>
          <w:p>
            <w:pPr>
              <w:pStyle w:val="NoSpacing"/>
              <w:spacing w:lineRule="auto" w:line="240" w:before="0" w:after="0"/>
              <w:rPr>
                <w:rFonts w:ascii="Arial" w:hAnsi="Arial" w:cs="Arial"/>
                <w:bCs/>
              </w:rPr>
            </w:pPr>
            <w:r>
              <w:rPr>
                <w:rFonts w:cs="Arial" w:ascii="Arial" w:hAnsi="Arial"/>
                <w:bCs/>
              </w:rPr>
            </w:r>
          </w:p>
          <w:p>
            <w:pPr>
              <w:pStyle w:val="NoSpacing"/>
              <w:numPr>
                <w:ilvl w:val="0"/>
                <w:numId w:val="3"/>
              </w:numPr>
              <w:spacing w:lineRule="auto" w:line="240" w:before="0" w:after="0"/>
              <w:rPr/>
            </w:pPr>
            <w:r>
              <w:rPr>
                <w:rFonts w:cs="Arial" w:ascii="Arial" w:hAnsi="Arial"/>
                <w:bCs/>
              </w:rPr>
              <w:t>Understanding of the barriers to inclusion and how to work positively to overcome them</w:t>
            </w:r>
          </w:p>
          <w:p>
            <w:pPr>
              <w:pStyle w:val="NoSpacing"/>
              <w:numPr>
                <w:ilvl w:val="0"/>
                <w:numId w:val="3"/>
              </w:numPr>
              <w:spacing w:lineRule="auto" w:line="240" w:before="0" w:after="0"/>
              <w:rPr/>
            </w:pPr>
            <w:r>
              <w:rPr>
                <w:rFonts w:cs="Arial" w:ascii="Arial" w:hAnsi="Arial"/>
                <w:bCs/>
              </w:rPr>
              <w:t>Ability to promote anti-discriminatory and anti –oppressive practice</w:t>
            </w:r>
          </w:p>
          <w:p>
            <w:pPr>
              <w:pStyle w:val="NoSpacing"/>
              <w:numPr>
                <w:ilvl w:val="0"/>
                <w:numId w:val="3"/>
              </w:numPr>
              <w:spacing w:lineRule="auto" w:line="240" w:before="0" w:after="0"/>
              <w:rPr/>
            </w:pPr>
            <w:r>
              <w:rPr>
                <w:rFonts w:cs="Arial" w:ascii="Arial" w:hAnsi="Arial"/>
                <w:bCs/>
              </w:rPr>
              <w:t>Non-judgemental approach to families respecting confidentiality and individuality</w:t>
            </w:r>
          </w:p>
          <w:p>
            <w:pPr>
              <w:pStyle w:val="NoSpacing"/>
              <w:spacing w:lineRule="auto" w:line="240" w:before="0" w:after="0"/>
              <w:ind w:left="780" w:right="0"/>
              <w:rPr>
                <w:rFonts w:ascii="Arial" w:hAnsi="Arial" w:cs="Arial"/>
                <w:bCs/>
              </w:rPr>
            </w:pPr>
            <w:r>
              <w:rPr>
                <w:rFonts w:cs="Arial" w:ascii="Arial" w:hAnsi="Arial"/>
                <w:bCs/>
              </w:rPr>
            </w:r>
          </w:p>
          <w:p>
            <w:pPr>
              <w:pStyle w:val="NoSpacing"/>
              <w:spacing w:lineRule="auto" w:line="240" w:before="0" w:after="0"/>
              <w:rPr>
                <w:rFonts w:ascii="Arial" w:hAnsi="Arial" w:cs="Arial"/>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b/>
              </w:rPr>
            </w:pPr>
            <w:r>
              <w:rPr>
                <w:rFonts w:eastAsia="Calibri" w:cs="Arial" w:ascii="Arial" w:hAnsi="Arial"/>
                <w:b/>
              </w:rPr>
            </w:r>
          </w:p>
          <w:p>
            <w:pPr>
              <w:pStyle w:val="ListParagraph"/>
              <w:numPr>
                <w:ilvl w:val="0"/>
                <w:numId w:val="4"/>
              </w:numPr>
              <w:spacing w:lineRule="auto" w:line="240" w:before="0" w:after="0"/>
              <w:contextualSpacing/>
              <w:rPr>
                <w:rFonts w:ascii="Arial" w:hAnsi="Arial" w:eastAsia="Calibri" w:cs="Arial"/>
                <w:b/>
              </w:rPr>
            </w:pPr>
            <w:r>
              <w:rPr>
                <w:rFonts w:eastAsia="Calibri" w:cs="Arial"/>
                <w:b/>
              </w:rPr>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