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EA98A36" w:rsidR="007672D6" w:rsidRPr="007672D6" w:rsidRDefault="00F1192B" w:rsidP="007672D6">
            <w:pPr>
              <w:rPr>
                <w:rFonts w:ascii="Arial" w:hAnsi="Arial" w:cs="Arial"/>
                <w:sz w:val="22"/>
                <w:szCs w:val="22"/>
              </w:rPr>
            </w:pPr>
            <w:r>
              <w:rPr>
                <w:rFonts w:ascii="Arial" w:hAnsi="Arial" w:cs="Arial"/>
                <w:sz w:val="22"/>
                <w:szCs w:val="22"/>
              </w:rPr>
              <w:t>Housing Standards Enforcement Officer Trainee</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6F9EFF9D" w:rsidR="00194758" w:rsidRPr="007672D6" w:rsidRDefault="00F1192B" w:rsidP="007672D6">
            <w:pPr>
              <w:rPr>
                <w:rFonts w:ascii="Arial" w:hAnsi="Arial" w:cs="Arial"/>
                <w:sz w:val="22"/>
                <w:szCs w:val="22"/>
              </w:rPr>
            </w:pPr>
            <w:r>
              <w:rPr>
                <w:rFonts w:ascii="Arial" w:hAnsi="Arial" w:cs="Arial"/>
                <w:sz w:val="22"/>
                <w:szCs w:val="22"/>
              </w:rPr>
              <w:t>C01A</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363F948" w:rsidR="007672D6" w:rsidRPr="007672D6" w:rsidRDefault="00F1192B" w:rsidP="007672D6">
            <w:pPr>
              <w:rPr>
                <w:rFonts w:ascii="Arial" w:hAnsi="Arial" w:cs="Arial"/>
                <w:sz w:val="22"/>
                <w:szCs w:val="22"/>
              </w:rPr>
            </w:pPr>
            <w:r>
              <w:rPr>
                <w:rFonts w:ascii="Arial" w:hAnsi="Arial" w:cs="Arial"/>
                <w:sz w:val="22"/>
                <w:szCs w:val="22"/>
              </w:rPr>
              <w:t>Public Protection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D5F1120" w:rsidR="007672D6" w:rsidRPr="007672D6" w:rsidRDefault="00F1192B" w:rsidP="007672D6">
            <w:pPr>
              <w:rPr>
                <w:rFonts w:ascii="Arial" w:hAnsi="Arial" w:cs="Arial"/>
                <w:sz w:val="22"/>
                <w:szCs w:val="22"/>
              </w:rPr>
            </w:pPr>
            <w:r>
              <w:rPr>
                <w:rFonts w:ascii="Arial" w:hAnsi="Arial" w:cs="Arial"/>
                <w:sz w:val="22"/>
                <w:szCs w:val="22"/>
              </w:rPr>
              <w:t>C</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5AAC7F7" w:rsidR="007672D6" w:rsidRPr="007672D6" w:rsidRDefault="00F1192B" w:rsidP="007672D6">
            <w:pPr>
              <w:rPr>
                <w:rFonts w:ascii="Arial" w:hAnsi="Arial" w:cs="Arial"/>
                <w:sz w:val="22"/>
                <w:szCs w:val="22"/>
              </w:rPr>
            </w:pPr>
            <w:r>
              <w:rPr>
                <w:rFonts w:ascii="Arial" w:hAnsi="Arial" w:cs="Arial"/>
                <w:sz w:val="22"/>
                <w:szCs w:val="22"/>
              </w:rPr>
              <w:t>Regulatory Services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E76CBAF" w14:textId="77777777" w:rsidR="00E93860" w:rsidRPr="00E93860" w:rsidRDefault="00E93860" w:rsidP="00E93860">
            <w:pPr>
              <w:spacing w:before="120"/>
              <w:jc w:val="both"/>
              <w:rPr>
                <w:rFonts w:ascii="Arial" w:hAnsi="Arial" w:cs="Arial"/>
                <w:bCs/>
                <w:sz w:val="22"/>
                <w:szCs w:val="22"/>
              </w:rPr>
            </w:pPr>
            <w:r w:rsidRPr="00E93860">
              <w:rPr>
                <w:rFonts w:ascii="Arial" w:hAnsi="Arial" w:cs="Arial"/>
                <w:bCs/>
                <w:sz w:val="22"/>
                <w:szCs w:val="22"/>
              </w:rPr>
              <w:t xml:space="preserve">To learn the role of a housing enforcement officer and develop appropriate skills by undertaking and successfully completing the Regulatory Compliance Officer apprenticeship. </w:t>
            </w:r>
          </w:p>
          <w:p w14:paraId="5684BDDD" w14:textId="77777777" w:rsidR="00E93860" w:rsidRPr="00E93860" w:rsidRDefault="00E93860" w:rsidP="00E93860">
            <w:pPr>
              <w:spacing w:before="120"/>
              <w:jc w:val="both"/>
              <w:rPr>
                <w:rFonts w:ascii="Arial" w:hAnsi="Arial" w:cs="Arial"/>
                <w:bCs/>
                <w:sz w:val="22"/>
                <w:szCs w:val="22"/>
              </w:rPr>
            </w:pPr>
            <w:r w:rsidRPr="00E93860">
              <w:rPr>
                <w:rFonts w:ascii="Arial" w:hAnsi="Arial" w:cs="Arial"/>
                <w:bCs/>
                <w:sz w:val="22"/>
                <w:szCs w:val="22"/>
              </w:rPr>
              <w:t>To support enforcement officers to tackle poor housing conditions by assisting enforcement and advisory activities.</w:t>
            </w:r>
          </w:p>
          <w:p w14:paraId="0A7E3352" w14:textId="401965FE" w:rsidR="00E93860" w:rsidRPr="00E93860" w:rsidRDefault="00E93860" w:rsidP="00E93860">
            <w:pPr>
              <w:spacing w:before="120"/>
              <w:jc w:val="both"/>
              <w:rPr>
                <w:rFonts w:ascii="Arial" w:hAnsi="Arial" w:cs="Arial"/>
                <w:bCs/>
                <w:sz w:val="22"/>
                <w:szCs w:val="22"/>
              </w:rPr>
            </w:pPr>
            <w:r w:rsidRPr="00E93860">
              <w:rPr>
                <w:rFonts w:ascii="Arial" w:hAnsi="Arial" w:cs="Arial"/>
                <w:bCs/>
                <w:sz w:val="22"/>
                <w:szCs w:val="22"/>
              </w:rPr>
              <w:t>To help make a positive difference to the lives of residents by ensuring their homes are safe and decent.</w:t>
            </w:r>
          </w:p>
          <w:p w14:paraId="1C091DD0" w14:textId="77777777" w:rsidR="00E93860" w:rsidRDefault="00E93860" w:rsidP="00BF087C">
            <w:pPr>
              <w:spacing w:before="120"/>
              <w:jc w:val="both"/>
              <w:rPr>
                <w:rFonts w:ascii="Arial" w:hAnsi="Arial" w:cs="Arial"/>
                <w:b/>
                <w:sz w:val="22"/>
                <w:szCs w:val="22"/>
              </w:rPr>
            </w:pPr>
          </w:p>
          <w:p w14:paraId="32A087D0" w14:textId="26837415"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2A94D20D" w14:textId="0E067A7A" w:rsidR="00E93860" w:rsidRPr="00E93860" w:rsidRDefault="00E93860" w:rsidP="00E93860">
            <w:pPr>
              <w:pStyle w:val="BodyText"/>
              <w:numPr>
                <w:ilvl w:val="0"/>
                <w:numId w:val="29"/>
              </w:numPr>
              <w:rPr>
                <w:b w:val="0"/>
                <w:sz w:val="22"/>
                <w:szCs w:val="22"/>
              </w:rPr>
            </w:pPr>
            <w:r w:rsidRPr="00E93860">
              <w:rPr>
                <w:b w:val="0"/>
                <w:sz w:val="22"/>
                <w:szCs w:val="22"/>
              </w:rPr>
              <w:t xml:space="preserve">To undertake and successfully complete all required training, including the Level 4 Regulatory Compliance Officer apprenticeship standard and an Advanced Professional Certificate within an agreed </w:t>
            </w:r>
            <w:proofErr w:type="gramStart"/>
            <w:r w:rsidRPr="00E93860">
              <w:rPr>
                <w:b w:val="0"/>
                <w:sz w:val="22"/>
                <w:szCs w:val="22"/>
              </w:rPr>
              <w:t>period of time</w:t>
            </w:r>
            <w:proofErr w:type="gramEnd"/>
            <w:r w:rsidRPr="00E93860">
              <w:rPr>
                <w:b w:val="0"/>
                <w:sz w:val="22"/>
                <w:szCs w:val="22"/>
              </w:rPr>
              <w:t>.</w:t>
            </w:r>
          </w:p>
          <w:p w14:paraId="2A4AFC90" w14:textId="77777777" w:rsidR="00E93860" w:rsidRPr="00E93860" w:rsidRDefault="00E93860" w:rsidP="00E93860">
            <w:pPr>
              <w:pStyle w:val="BodyText"/>
              <w:rPr>
                <w:b w:val="0"/>
                <w:sz w:val="22"/>
                <w:szCs w:val="22"/>
              </w:rPr>
            </w:pPr>
          </w:p>
          <w:p w14:paraId="19C7F0DD" w14:textId="0C7260F5" w:rsidR="00E93860" w:rsidRPr="00E93860" w:rsidRDefault="00E93860" w:rsidP="00E93860">
            <w:pPr>
              <w:pStyle w:val="BodyText"/>
              <w:numPr>
                <w:ilvl w:val="0"/>
                <w:numId w:val="29"/>
              </w:numPr>
              <w:rPr>
                <w:b w:val="0"/>
                <w:sz w:val="22"/>
                <w:szCs w:val="22"/>
              </w:rPr>
            </w:pPr>
            <w:r w:rsidRPr="00E93860">
              <w:rPr>
                <w:b w:val="0"/>
                <w:sz w:val="22"/>
                <w:szCs w:val="22"/>
              </w:rPr>
              <w:t>Following supervision and training, to appropriately apply technical knowledge and experience of housing standards to real world situations with a view to ensuring compliance with relevant minimum standards.</w:t>
            </w:r>
          </w:p>
          <w:p w14:paraId="26700BE1" w14:textId="77777777" w:rsidR="00E93860" w:rsidRPr="00E93860" w:rsidRDefault="00E93860" w:rsidP="00E93860">
            <w:pPr>
              <w:pStyle w:val="BodyText"/>
              <w:rPr>
                <w:b w:val="0"/>
                <w:sz w:val="22"/>
                <w:szCs w:val="22"/>
              </w:rPr>
            </w:pPr>
          </w:p>
          <w:p w14:paraId="3384760E" w14:textId="025D67EF" w:rsidR="00E93860" w:rsidRPr="00E93860" w:rsidRDefault="00E93860" w:rsidP="00E93860">
            <w:pPr>
              <w:pStyle w:val="BodyText"/>
              <w:numPr>
                <w:ilvl w:val="0"/>
                <w:numId w:val="29"/>
              </w:numPr>
              <w:rPr>
                <w:b w:val="0"/>
                <w:sz w:val="22"/>
                <w:szCs w:val="22"/>
              </w:rPr>
            </w:pPr>
            <w:r w:rsidRPr="00E93860">
              <w:rPr>
                <w:b w:val="0"/>
                <w:sz w:val="22"/>
                <w:szCs w:val="22"/>
              </w:rPr>
              <w:t>Following supervision and training, to assist with and take appropriate formal and informal enforcement action, and give advice, to achieve good housing outcomes, in line with relevant council policies and procedures.</w:t>
            </w:r>
          </w:p>
          <w:p w14:paraId="7BB1BD37" w14:textId="77777777" w:rsidR="00E93860" w:rsidRPr="00E93860" w:rsidRDefault="00E93860" w:rsidP="00E93860">
            <w:pPr>
              <w:pStyle w:val="BodyText"/>
              <w:rPr>
                <w:b w:val="0"/>
                <w:sz w:val="22"/>
                <w:szCs w:val="22"/>
              </w:rPr>
            </w:pPr>
          </w:p>
          <w:p w14:paraId="6CB4E7C8" w14:textId="4221E2B4" w:rsidR="00E93860" w:rsidRPr="00E93860" w:rsidRDefault="00E93860" w:rsidP="00E93860">
            <w:pPr>
              <w:pStyle w:val="BodyText"/>
              <w:numPr>
                <w:ilvl w:val="0"/>
                <w:numId w:val="29"/>
              </w:numPr>
              <w:rPr>
                <w:b w:val="0"/>
                <w:sz w:val="22"/>
                <w:szCs w:val="22"/>
              </w:rPr>
            </w:pPr>
            <w:r w:rsidRPr="00E93860">
              <w:rPr>
                <w:b w:val="0"/>
                <w:sz w:val="22"/>
                <w:szCs w:val="22"/>
              </w:rPr>
              <w:t xml:space="preserve">Following supervision and training, to assist and participate in inspections and assessments, including collating and acquiring relevant evidence, conducting interviews, issuing warnings and notices, to facilitate the fair and proportionate use of enforcement powers and, where necessary, to secure positive outcomes from all subsequent legal proceedings. </w:t>
            </w:r>
          </w:p>
          <w:p w14:paraId="732CC6C9" w14:textId="77777777" w:rsidR="00E93860" w:rsidRPr="00E93860" w:rsidRDefault="00E93860" w:rsidP="00E93860">
            <w:pPr>
              <w:pStyle w:val="BodyText"/>
              <w:rPr>
                <w:b w:val="0"/>
                <w:sz w:val="22"/>
                <w:szCs w:val="22"/>
              </w:rPr>
            </w:pPr>
          </w:p>
          <w:p w14:paraId="17D2F2DA" w14:textId="36FC5142" w:rsidR="00E93860" w:rsidRPr="00E93860" w:rsidRDefault="00E93860" w:rsidP="00E93860">
            <w:pPr>
              <w:pStyle w:val="BodyText"/>
              <w:numPr>
                <w:ilvl w:val="0"/>
                <w:numId w:val="29"/>
              </w:numPr>
              <w:rPr>
                <w:b w:val="0"/>
                <w:sz w:val="22"/>
                <w:szCs w:val="22"/>
              </w:rPr>
            </w:pPr>
            <w:r w:rsidRPr="00E93860">
              <w:rPr>
                <w:b w:val="0"/>
                <w:sz w:val="22"/>
                <w:szCs w:val="22"/>
              </w:rPr>
              <w:t>Following supervision and training, to assist and conduct basic investigations and to assist in the preparation and collation of detailed case and prosecution files and where appropriate attend Court, Tribunals and Public Inquiries and present necessary evidence. Where appropriate give support to witnesses/victims.</w:t>
            </w:r>
          </w:p>
          <w:p w14:paraId="12BB42FB" w14:textId="77777777" w:rsidR="00E93860" w:rsidRPr="00E93860" w:rsidRDefault="00E93860" w:rsidP="00E93860">
            <w:pPr>
              <w:pStyle w:val="BodyText"/>
              <w:rPr>
                <w:b w:val="0"/>
                <w:sz w:val="22"/>
                <w:szCs w:val="22"/>
              </w:rPr>
            </w:pPr>
          </w:p>
          <w:p w14:paraId="350549FC" w14:textId="1DE94720" w:rsidR="00E93860" w:rsidRPr="00E93860" w:rsidRDefault="00E93860" w:rsidP="00E93860">
            <w:pPr>
              <w:pStyle w:val="BodyText"/>
              <w:numPr>
                <w:ilvl w:val="0"/>
                <w:numId w:val="29"/>
              </w:numPr>
              <w:rPr>
                <w:b w:val="0"/>
                <w:sz w:val="22"/>
                <w:szCs w:val="22"/>
              </w:rPr>
            </w:pPr>
            <w:r w:rsidRPr="00E93860">
              <w:rPr>
                <w:b w:val="0"/>
                <w:sz w:val="22"/>
                <w:szCs w:val="22"/>
              </w:rPr>
              <w:t>To maintain accurate records, including of all relevant investigations, inspections and meetings, and prepare briefings.</w:t>
            </w:r>
          </w:p>
          <w:p w14:paraId="32A94965" w14:textId="77777777" w:rsidR="00E93860" w:rsidRDefault="00E93860" w:rsidP="00E93860">
            <w:pPr>
              <w:pStyle w:val="BodyText"/>
              <w:rPr>
                <w:b w:val="0"/>
                <w:sz w:val="22"/>
                <w:szCs w:val="22"/>
              </w:rPr>
            </w:pPr>
          </w:p>
          <w:p w14:paraId="7FB8378C" w14:textId="4A4776E7" w:rsidR="00E93860" w:rsidRPr="00E93860" w:rsidRDefault="00E93860" w:rsidP="00E93860">
            <w:pPr>
              <w:pStyle w:val="BodyText"/>
              <w:numPr>
                <w:ilvl w:val="0"/>
                <w:numId w:val="29"/>
              </w:numPr>
              <w:rPr>
                <w:b w:val="0"/>
                <w:sz w:val="22"/>
                <w:szCs w:val="22"/>
              </w:rPr>
            </w:pPr>
            <w:r w:rsidRPr="00E93860">
              <w:rPr>
                <w:b w:val="0"/>
                <w:sz w:val="22"/>
                <w:szCs w:val="22"/>
              </w:rPr>
              <w:t xml:space="preserve">To build an understanding of relevant policies and ensure all duties are undertaken in full accordance with them, ensuring that all relevant financial and statutory matters are dealt with promptly. </w:t>
            </w:r>
          </w:p>
          <w:p w14:paraId="5937E713" w14:textId="77777777" w:rsidR="00E93860" w:rsidRPr="00E93860" w:rsidRDefault="00E93860" w:rsidP="00E93860">
            <w:pPr>
              <w:pStyle w:val="BodyText"/>
              <w:rPr>
                <w:b w:val="0"/>
                <w:sz w:val="22"/>
                <w:szCs w:val="22"/>
              </w:rPr>
            </w:pPr>
          </w:p>
          <w:p w14:paraId="50A8AF6C" w14:textId="4531C6EF" w:rsidR="00E93860" w:rsidRPr="00E93860" w:rsidRDefault="00E93860" w:rsidP="00E93860">
            <w:pPr>
              <w:pStyle w:val="BodyText"/>
              <w:numPr>
                <w:ilvl w:val="0"/>
                <w:numId w:val="29"/>
              </w:numPr>
              <w:rPr>
                <w:b w:val="0"/>
                <w:sz w:val="22"/>
                <w:szCs w:val="22"/>
              </w:rPr>
            </w:pPr>
            <w:r w:rsidRPr="00E93860">
              <w:rPr>
                <w:b w:val="0"/>
                <w:sz w:val="22"/>
                <w:szCs w:val="22"/>
              </w:rPr>
              <w:lastRenderedPageBreak/>
              <w:t>To develop an understanding of relevant emerging trends or patterns which may affect the service or need to be addressed at a policy or strategic level, and to escalate them</w:t>
            </w:r>
          </w:p>
          <w:p w14:paraId="725EB52C" w14:textId="77777777" w:rsidR="00E93860" w:rsidRPr="00E93860" w:rsidRDefault="00E93860" w:rsidP="00E93860">
            <w:pPr>
              <w:pStyle w:val="BodyText"/>
              <w:rPr>
                <w:b w:val="0"/>
                <w:sz w:val="22"/>
                <w:szCs w:val="22"/>
              </w:rPr>
            </w:pPr>
          </w:p>
          <w:p w14:paraId="36594B40" w14:textId="05742EB6" w:rsidR="00E93860" w:rsidRPr="00E93860" w:rsidRDefault="00E93860" w:rsidP="00E93860">
            <w:pPr>
              <w:pStyle w:val="BodyText"/>
              <w:numPr>
                <w:ilvl w:val="0"/>
                <w:numId w:val="29"/>
              </w:numPr>
              <w:rPr>
                <w:b w:val="0"/>
                <w:sz w:val="22"/>
                <w:szCs w:val="22"/>
              </w:rPr>
            </w:pPr>
            <w:r w:rsidRPr="00E93860">
              <w:rPr>
                <w:b w:val="0"/>
                <w:sz w:val="22"/>
                <w:szCs w:val="22"/>
              </w:rPr>
              <w:t>To learn, develop and maintain knowledge and expertise of relevant and current legislation relating to private sector housing including any changes, best practise and consultations.</w:t>
            </w:r>
          </w:p>
          <w:p w14:paraId="6CAAB6ED" w14:textId="77777777" w:rsidR="00E93860" w:rsidRDefault="00E93860" w:rsidP="00E93860">
            <w:pPr>
              <w:pStyle w:val="BodyText"/>
              <w:rPr>
                <w:b w:val="0"/>
                <w:sz w:val="22"/>
                <w:szCs w:val="22"/>
              </w:rPr>
            </w:pPr>
          </w:p>
          <w:p w14:paraId="547DF3C5" w14:textId="548E283E" w:rsidR="00E93860" w:rsidRPr="00E93860" w:rsidRDefault="00E93860" w:rsidP="00E93860">
            <w:pPr>
              <w:pStyle w:val="BodyText"/>
              <w:numPr>
                <w:ilvl w:val="0"/>
                <w:numId w:val="29"/>
              </w:numPr>
              <w:rPr>
                <w:b w:val="0"/>
                <w:sz w:val="22"/>
                <w:szCs w:val="22"/>
              </w:rPr>
            </w:pPr>
            <w:r w:rsidRPr="00E93860">
              <w:rPr>
                <w:b w:val="0"/>
                <w:sz w:val="22"/>
                <w:szCs w:val="22"/>
              </w:rPr>
              <w:t>To work closely with partners to solve problems, including other departments, bodies and agencies, and the voluntary and community sector; giving advice and assistance and developing the ability to provide technical support to internal and external colleagues.</w:t>
            </w:r>
          </w:p>
          <w:p w14:paraId="7EFD9DB6" w14:textId="77777777" w:rsidR="00E93860" w:rsidRPr="00E93860" w:rsidRDefault="00E93860" w:rsidP="00E93860">
            <w:pPr>
              <w:pStyle w:val="BodyText"/>
              <w:rPr>
                <w:b w:val="0"/>
                <w:sz w:val="22"/>
                <w:szCs w:val="22"/>
              </w:rPr>
            </w:pPr>
          </w:p>
          <w:p w14:paraId="62984474" w14:textId="0A045A6B" w:rsidR="00E93860" w:rsidRPr="00E93860" w:rsidRDefault="00E93860" w:rsidP="00E93860">
            <w:pPr>
              <w:pStyle w:val="BodyText"/>
              <w:numPr>
                <w:ilvl w:val="0"/>
                <w:numId w:val="29"/>
              </w:numPr>
              <w:rPr>
                <w:b w:val="0"/>
                <w:sz w:val="22"/>
                <w:szCs w:val="22"/>
              </w:rPr>
            </w:pPr>
            <w:r w:rsidRPr="00E93860">
              <w:rPr>
                <w:b w:val="0"/>
                <w:sz w:val="22"/>
                <w:szCs w:val="22"/>
              </w:rPr>
              <w:t>To manage own allocated workload effectively including, where appropriate, working outside normal hours.</w:t>
            </w:r>
          </w:p>
          <w:p w14:paraId="0687015E" w14:textId="77777777" w:rsidR="00E93860" w:rsidRPr="00E93860" w:rsidRDefault="00E93860" w:rsidP="00E93860">
            <w:pPr>
              <w:pStyle w:val="BodyText"/>
              <w:rPr>
                <w:b w:val="0"/>
                <w:sz w:val="22"/>
                <w:szCs w:val="22"/>
              </w:rPr>
            </w:pPr>
          </w:p>
          <w:p w14:paraId="044C23DB" w14:textId="24CA378B" w:rsidR="00E93860" w:rsidRPr="00E93860" w:rsidRDefault="00E93860" w:rsidP="00E93860">
            <w:pPr>
              <w:pStyle w:val="BodyText"/>
              <w:numPr>
                <w:ilvl w:val="0"/>
                <w:numId w:val="29"/>
              </w:numPr>
              <w:rPr>
                <w:b w:val="0"/>
                <w:sz w:val="22"/>
                <w:szCs w:val="22"/>
              </w:rPr>
            </w:pPr>
            <w:r w:rsidRPr="00E93860">
              <w:rPr>
                <w:b w:val="0"/>
                <w:sz w:val="22"/>
                <w:szCs w:val="22"/>
              </w:rPr>
              <w:t>To attend relevant meetings with other council services, or outside bodies as required, to promote service objectives.</w:t>
            </w:r>
          </w:p>
          <w:p w14:paraId="78083E94" w14:textId="77777777" w:rsidR="00E93860" w:rsidRPr="00E93860" w:rsidRDefault="00E93860" w:rsidP="00E93860">
            <w:pPr>
              <w:pStyle w:val="BodyText"/>
              <w:rPr>
                <w:b w:val="0"/>
                <w:sz w:val="22"/>
                <w:szCs w:val="22"/>
              </w:rPr>
            </w:pPr>
          </w:p>
          <w:p w14:paraId="6F55B28B" w14:textId="6C3B367B" w:rsidR="00E93860" w:rsidRPr="00E93860" w:rsidRDefault="00E93860" w:rsidP="00E93860">
            <w:pPr>
              <w:pStyle w:val="BodyText"/>
              <w:numPr>
                <w:ilvl w:val="0"/>
                <w:numId w:val="29"/>
              </w:numPr>
              <w:rPr>
                <w:b w:val="0"/>
                <w:sz w:val="22"/>
                <w:szCs w:val="22"/>
              </w:rPr>
            </w:pPr>
            <w:r w:rsidRPr="00E93860">
              <w:rPr>
                <w:b w:val="0"/>
                <w:sz w:val="22"/>
                <w:szCs w:val="22"/>
              </w:rPr>
              <w:t xml:space="preserve">To develop communication skills to enable appropriate and effective communication with all stakeholders to ensure their understanding, engagement and involvement with relevant work programmes and projects including providing technical information relating to the apprentice officer’s area of work that is accessible and understandable. </w:t>
            </w:r>
          </w:p>
          <w:p w14:paraId="45AF6539" w14:textId="77777777" w:rsidR="00E93860" w:rsidRPr="00E93860" w:rsidRDefault="00E93860" w:rsidP="00E93860">
            <w:pPr>
              <w:pStyle w:val="BodyText"/>
              <w:rPr>
                <w:b w:val="0"/>
                <w:sz w:val="22"/>
                <w:szCs w:val="22"/>
              </w:rPr>
            </w:pPr>
          </w:p>
          <w:p w14:paraId="74CB16BE" w14:textId="44A02DB9" w:rsidR="00E93860" w:rsidRPr="00E93860" w:rsidRDefault="00E93860" w:rsidP="00E93860">
            <w:pPr>
              <w:pStyle w:val="BodyText"/>
              <w:numPr>
                <w:ilvl w:val="0"/>
                <w:numId w:val="29"/>
              </w:numPr>
              <w:rPr>
                <w:b w:val="0"/>
                <w:sz w:val="22"/>
                <w:szCs w:val="22"/>
              </w:rPr>
            </w:pPr>
            <w:r w:rsidRPr="00E93860">
              <w:rPr>
                <w:b w:val="0"/>
                <w:sz w:val="22"/>
                <w:szCs w:val="22"/>
              </w:rPr>
              <w:t>To provide support and undertake such additional duties that may arise appropriate to the delivery of the service and as are reasonably commensurate with the level of the post.</w:t>
            </w:r>
          </w:p>
          <w:p w14:paraId="2E346B77" w14:textId="77777777" w:rsidR="00E93860" w:rsidRPr="00E93860" w:rsidRDefault="00E93860" w:rsidP="00E93860">
            <w:pPr>
              <w:pStyle w:val="BodyText"/>
              <w:rPr>
                <w:b w:val="0"/>
                <w:sz w:val="22"/>
                <w:szCs w:val="22"/>
              </w:rPr>
            </w:pPr>
          </w:p>
          <w:p w14:paraId="2C0B7233" w14:textId="0CCCE94B" w:rsidR="00E93860" w:rsidRPr="00E93860" w:rsidRDefault="00E93860" w:rsidP="00E93860">
            <w:pPr>
              <w:pStyle w:val="BodyText"/>
              <w:numPr>
                <w:ilvl w:val="0"/>
                <w:numId w:val="29"/>
              </w:numPr>
              <w:rPr>
                <w:b w:val="0"/>
                <w:sz w:val="22"/>
                <w:szCs w:val="22"/>
              </w:rPr>
            </w:pPr>
            <w:r w:rsidRPr="00E93860">
              <w:rPr>
                <w:b w:val="0"/>
                <w:sz w:val="22"/>
                <w:szCs w:val="22"/>
              </w:rPr>
              <w:t>To take a full and active role in the implementation of own training and personal development.</w:t>
            </w:r>
          </w:p>
          <w:p w14:paraId="4E28CA52" w14:textId="77777777" w:rsidR="00E93860" w:rsidRPr="00E93860" w:rsidRDefault="00E93860" w:rsidP="00E93860">
            <w:pPr>
              <w:pStyle w:val="BodyText"/>
              <w:rPr>
                <w:b w:val="0"/>
                <w:sz w:val="22"/>
                <w:szCs w:val="22"/>
              </w:rPr>
            </w:pPr>
          </w:p>
          <w:p w14:paraId="778D3827" w14:textId="6073B2B3" w:rsidR="00E93860" w:rsidRPr="00A2179A" w:rsidRDefault="00E93860" w:rsidP="00E93860">
            <w:pPr>
              <w:pStyle w:val="BodyText"/>
              <w:numPr>
                <w:ilvl w:val="0"/>
                <w:numId w:val="29"/>
              </w:numPr>
              <w:rPr>
                <w:b w:val="0"/>
                <w:sz w:val="22"/>
                <w:szCs w:val="22"/>
              </w:rPr>
            </w:pPr>
            <w:r w:rsidRPr="00E93860">
              <w:rPr>
                <w:b w:val="0"/>
                <w:sz w:val="22"/>
                <w:szCs w:val="22"/>
              </w:rPr>
              <w:t>To contribute to and demonstrate a commitment to relevant council policies and initiatives</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1E0990F1" w:rsidR="00DA2EA9" w:rsidRPr="00E93860" w:rsidRDefault="00E93860" w:rsidP="00DA2EA9">
            <w:pPr>
              <w:pStyle w:val="ListParagraph"/>
              <w:numPr>
                <w:ilvl w:val="0"/>
                <w:numId w:val="26"/>
              </w:numPr>
              <w:rPr>
                <w:rFonts w:eastAsiaTheme="minorHAnsi"/>
              </w:rPr>
            </w:pPr>
            <w:r w:rsidRPr="00E93860">
              <w:rPr>
                <w:rFonts w:eastAsiaTheme="minorHAnsi"/>
              </w:rPr>
              <w:t>Five GCSE passes, including English and Maths (or equivalent).</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632C2032" w:rsidR="00F56885" w:rsidRDefault="00E93860" w:rsidP="00E93860">
            <w:pPr>
              <w:pStyle w:val="ListParagraph"/>
              <w:numPr>
                <w:ilvl w:val="0"/>
                <w:numId w:val="26"/>
              </w:numPr>
              <w:rPr>
                <w:bCs/>
                <w:sz w:val="20"/>
                <w:szCs w:val="20"/>
              </w:rPr>
            </w:pPr>
            <w:r w:rsidRPr="00E93860">
              <w:rPr>
                <w:bCs/>
                <w:sz w:val="20"/>
                <w:szCs w:val="20"/>
              </w:rPr>
              <w:t>Understanding that councils are responsible for enforcement against landlords who break the law</w:t>
            </w:r>
          </w:p>
          <w:p w14:paraId="4BC841DE" w14:textId="133B4FF6" w:rsidR="00E93860" w:rsidRDefault="00E93860" w:rsidP="00E93860">
            <w:pPr>
              <w:pStyle w:val="ListParagraph"/>
              <w:numPr>
                <w:ilvl w:val="0"/>
                <w:numId w:val="26"/>
              </w:numPr>
              <w:rPr>
                <w:bCs/>
                <w:sz w:val="20"/>
                <w:szCs w:val="20"/>
              </w:rPr>
            </w:pPr>
            <w:r w:rsidRPr="00E93860">
              <w:rPr>
                <w:bCs/>
                <w:sz w:val="20"/>
                <w:szCs w:val="20"/>
              </w:rPr>
              <w:t>Awareness of the impact that bad housing can have on people’s lives and health</w:t>
            </w:r>
          </w:p>
          <w:p w14:paraId="5DF70A0B" w14:textId="77777777" w:rsidR="00E93860" w:rsidRPr="00E93860" w:rsidRDefault="00E93860" w:rsidP="00E93860">
            <w:pPr>
              <w:pStyle w:val="ListParagraph"/>
              <w:numPr>
                <w:ilvl w:val="0"/>
                <w:numId w:val="26"/>
              </w:numPr>
              <w:rPr>
                <w:bCs/>
                <w:sz w:val="20"/>
                <w:szCs w:val="20"/>
              </w:rPr>
            </w:pPr>
            <w:r w:rsidRPr="00E93860">
              <w:rPr>
                <w:bCs/>
                <w:sz w:val="20"/>
                <w:szCs w:val="20"/>
              </w:rPr>
              <w:t>Good verbal and written communication skills including the ability to communicate appropriately with people who are distressed or under stress.</w:t>
            </w:r>
          </w:p>
          <w:p w14:paraId="69492F8B" w14:textId="77777777" w:rsidR="00E93860" w:rsidRPr="00E93860" w:rsidRDefault="00E93860" w:rsidP="00E93860">
            <w:pPr>
              <w:ind w:left="420"/>
              <w:rPr>
                <w:bCs/>
              </w:rPr>
            </w:pPr>
          </w:p>
          <w:p w14:paraId="3F3ACDE4" w14:textId="6F7A6C4F" w:rsidR="00E93860" w:rsidRPr="00E93860" w:rsidRDefault="00E93860" w:rsidP="00E93860">
            <w:pPr>
              <w:pStyle w:val="ListParagraph"/>
              <w:numPr>
                <w:ilvl w:val="0"/>
                <w:numId w:val="26"/>
              </w:numPr>
              <w:rPr>
                <w:bCs/>
                <w:sz w:val="20"/>
                <w:szCs w:val="20"/>
              </w:rPr>
            </w:pPr>
            <w:r w:rsidRPr="00E93860">
              <w:rPr>
                <w:bCs/>
                <w:sz w:val="20"/>
                <w:szCs w:val="20"/>
              </w:rPr>
              <w:t>Able to have difficult conversations and be assertive in a way that is appropriate, fair and proportionate.</w:t>
            </w:r>
          </w:p>
          <w:p w14:paraId="745FFCEF" w14:textId="089B1387" w:rsidR="00E93860" w:rsidRPr="00E93860" w:rsidRDefault="00E93860" w:rsidP="00E93860">
            <w:pPr>
              <w:pStyle w:val="ListParagraph"/>
              <w:numPr>
                <w:ilvl w:val="0"/>
                <w:numId w:val="26"/>
              </w:numPr>
              <w:rPr>
                <w:bCs/>
                <w:sz w:val="20"/>
                <w:szCs w:val="20"/>
              </w:rPr>
            </w:pPr>
            <w:r w:rsidRPr="00E93860">
              <w:rPr>
                <w:bCs/>
                <w:sz w:val="20"/>
                <w:szCs w:val="20"/>
              </w:rPr>
              <w:t>Able to gather and analyse information and evidence from a wide range of sources and keep accurate records.</w:t>
            </w:r>
          </w:p>
          <w:p w14:paraId="7778927B" w14:textId="7832379A" w:rsidR="00E93860" w:rsidRPr="00E93860" w:rsidRDefault="00E93860" w:rsidP="00E93860">
            <w:pPr>
              <w:pStyle w:val="ListParagraph"/>
              <w:numPr>
                <w:ilvl w:val="0"/>
                <w:numId w:val="26"/>
              </w:numPr>
              <w:rPr>
                <w:bCs/>
                <w:sz w:val="20"/>
                <w:szCs w:val="20"/>
              </w:rPr>
            </w:pPr>
            <w:r w:rsidRPr="00E93860">
              <w:rPr>
                <w:bCs/>
                <w:sz w:val="20"/>
                <w:szCs w:val="20"/>
              </w:rPr>
              <w:t>Good literacy, numeracy and digital skills.</w:t>
            </w:r>
          </w:p>
          <w:p w14:paraId="5FAA4AE7" w14:textId="0EA82800" w:rsidR="00E93860" w:rsidRPr="00E93860" w:rsidRDefault="00E93860" w:rsidP="00E93860">
            <w:pPr>
              <w:pStyle w:val="ListParagraph"/>
              <w:numPr>
                <w:ilvl w:val="0"/>
                <w:numId w:val="26"/>
              </w:numPr>
              <w:rPr>
                <w:bCs/>
                <w:sz w:val="20"/>
                <w:szCs w:val="20"/>
              </w:rPr>
            </w:pPr>
            <w:r w:rsidRPr="00E93860">
              <w:rPr>
                <w:bCs/>
                <w:sz w:val="20"/>
                <w:szCs w:val="20"/>
              </w:rPr>
              <w:t>Able to travel to and access all areas of the local authority area in a timely manner. This will include inspecting a range of buildings and properties such as accessing loft spaces and uneven ground</w:t>
            </w:r>
          </w:p>
          <w:p w14:paraId="1425C51B" w14:textId="1C3A75F2" w:rsidR="00E93860" w:rsidRPr="00E93860" w:rsidRDefault="00E93860" w:rsidP="00E93860">
            <w:pPr>
              <w:pStyle w:val="ListParagraph"/>
              <w:numPr>
                <w:ilvl w:val="0"/>
                <w:numId w:val="26"/>
              </w:numPr>
              <w:rPr>
                <w:bCs/>
                <w:sz w:val="20"/>
                <w:szCs w:val="20"/>
              </w:rPr>
            </w:pPr>
            <w:r w:rsidRPr="00E93860">
              <w:rPr>
                <w:bCs/>
                <w:sz w:val="20"/>
                <w:szCs w:val="20"/>
              </w:rPr>
              <w:t>Able to work independently and in a team.</w:t>
            </w:r>
          </w:p>
          <w:p w14:paraId="07C8081C" w14:textId="64B3720E" w:rsidR="00E93860" w:rsidRPr="00E93860" w:rsidRDefault="00E93860" w:rsidP="00E93860">
            <w:pPr>
              <w:pStyle w:val="ListParagraph"/>
              <w:numPr>
                <w:ilvl w:val="0"/>
                <w:numId w:val="26"/>
              </w:numPr>
              <w:rPr>
                <w:bCs/>
                <w:sz w:val="20"/>
                <w:szCs w:val="20"/>
              </w:rPr>
            </w:pPr>
            <w:r w:rsidRPr="00E93860">
              <w:rPr>
                <w:bCs/>
                <w:sz w:val="20"/>
                <w:szCs w:val="20"/>
              </w:rPr>
              <w:t>Able to manage own workload.</w:t>
            </w:r>
          </w:p>
          <w:p w14:paraId="6C43CCFD" w14:textId="5B9BBBA2" w:rsidR="00E93860" w:rsidRPr="00E93860" w:rsidRDefault="00E93860" w:rsidP="00E93860">
            <w:pPr>
              <w:pStyle w:val="ListParagraph"/>
              <w:numPr>
                <w:ilvl w:val="0"/>
                <w:numId w:val="26"/>
              </w:numPr>
              <w:rPr>
                <w:bCs/>
                <w:sz w:val="20"/>
                <w:szCs w:val="20"/>
              </w:rPr>
            </w:pPr>
            <w:r w:rsidRPr="00E93860">
              <w:rPr>
                <w:bCs/>
                <w:sz w:val="20"/>
                <w:szCs w:val="20"/>
              </w:rPr>
              <w:t>Self-motivated to study, develop ca</w:t>
            </w:r>
          </w:p>
          <w:p w14:paraId="2C781B60" w14:textId="001C00DF" w:rsidR="00E93860" w:rsidRPr="00DA2EA9" w:rsidRDefault="00E93860" w:rsidP="00E93860">
            <w:pPr>
              <w:pStyle w:val="ListParagraph"/>
              <w:numPr>
                <w:ilvl w:val="0"/>
                <w:numId w:val="26"/>
              </w:numPr>
              <w:rPr>
                <w:bCs/>
                <w:sz w:val="20"/>
                <w:szCs w:val="20"/>
              </w:rPr>
            </w:pPr>
            <w:r w:rsidRPr="00E93860">
              <w:rPr>
                <w:bCs/>
                <w:sz w:val="20"/>
                <w:szCs w:val="20"/>
              </w:rPr>
              <w:t>Interested in helping people by improving the standard of housing.</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5DCE5AF8" w14:textId="77777777" w:rsidR="00E93860" w:rsidRPr="00E93860" w:rsidRDefault="00E93860" w:rsidP="00E93860">
            <w:pPr>
              <w:pStyle w:val="ListParagraph"/>
              <w:numPr>
                <w:ilvl w:val="0"/>
                <w:numId w:val="27"/>
              </w:numPr>
              <w:rPr>
                <w:bCs/>
                <w:sz w:val="20"/>
                <w:szCs w:val="20"/>
              </w:rPr>
            </w:pPr>
            <w:r w:rsidRPr="00E93860">
              <w:rPr>
                <w:bCs/>
                <w:sz w:val="20"/>
                <w:szCs w:val="20"/>
              </w:rPr>
              <w:t>Experience of working with members of the public.</w:t>
            </w:r>
          </w:p>
          <w:p w14:paraId="5084C837" w14:textId="77777777" w:rsidR="00E93860" w:rsidRPr="00E93860" w:rsidRDefault="00E93860" w:rsidP="00E93860">
            <w:pPr>
              <w:pStyle w:val="ListParagraph"/>
              <w:numPr>
                <w:ilvl w:val="0"/>
                <w:numId w:val="27"/>
              </w:numPr>
              <w:rPr>
                <w:bCs/>
                <w:sz w:val="20"/>
                <w:szCs w:val="20"/>
              </w:rPr>
            </w:pPr>
            <w:r w:rsidRPr="00E93860">
              <w:rPr>
                <w:bCs/>
                <w:sz w:val="20"/>
                <w:szCs w:val="20"/>
              </w:rPr>
              <w:t>Experience of resilience in tough situations.</w:t>
            </w:r>
          </w:p>
          <w:p w14:paraId="107108F1" w14:textId="55AA344C" w:rsidR="00084507" w:rsidRPr="00DA2EA9" w:rsidRDefault="00084507" w:rsidP="00E93860">
            <w:pPr>
              <w:pStyle w:val="ListParagraph"/>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6496037B">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D7941"/>
    <w:multiLevelType w:val="hybridMultilevel"/>
    <w:tmpl w:val="F686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6"/>
  </w:num>
  <w:num w:numId="5" w16cid:durableId="1561987400">
    <w:abstractNumId w:val="26"/>
  </w:num>
  <w:num w:numId="6" w16cid:durableId="822551177">
    <w:abstractNumId w:val="12"/>
  </w:num>
  <w:num w:numId="7" w16cid:durableId="1673795497">
    <w:abstractNumId w:val="11"/>
  </w:num>
  <w:num w:numId="8" w16cid:durableId="316148995">
    <w:abstractNumId w:val="8"/>
  </w:num>
  <w:num w:numId="9" w16cid:durableId="1553230647">
    <w:abstractNumId w:val="28"/>
  </w:num>
  <w:num w:numId="10" w16cid:durableId="1134181701">
    <w:abstractNumId w:val="22"/>
  </w:num>
  <w:num w:numId="11" w16cid:durableId="1254784418">
    <w:abstractNumId w:val="21"/>
  </w:num>
  <w:num w:numId="12" w16cid:durableId="910382423">
    <w:abstractNumId w:val="4"/>
  </w:num>
  <w:num w:numId="13" w16cid:durableId="633295969">
    <w:abstractNumId w:val="10"/>
  </w:num>
  <w:num w:numId="14" w16cid:durableId="2089576544">
    <w:abstractNumId w:val="3"/>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9"/>
  </w:num>
  <w:num w:numId="24" w16cid:durableId="1976137817">
    <w:abstractNumId w:val="16"/>
  </w:num>
  <w:num w:numId="25" w16cid:durableId="488668338">
    <w:abstractNumId w:val="5"/>
  </w:num>
  <w:num w:numId="26" w16cid:durableId="1271816828">
    <w:abstractNumId w:val="14"/>
  </w:num>
  <w:num w:numId="27" w16cid:durableId="385908043">
    <w:abstractNumId w:val="13"/>
  </w:num>
  <w:num w:numId="28" w16cid:durableId="2058700147">
    <w:abstractNumId w:val="27"/>
  </w:num>
  <w:num w:numId="29" w16cid:durableId="1965425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1E74"/>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E93860"/>
    <w:rsid w:val="00F05D37"/>
    <w:rsid w:val="00F1192B"/>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5107</Characters>
  <Application>Microsoft Office Word</Application>
  <DocSecurity>0</DocSecurity>
  <Lines>196</Lines>
  <Paragraphs>94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Gary Mongan</cp:lastModifiedBy>
  <cp:revision>2</cp:revision>
  <dcterms:created xsi:type="dcterms:W3CDTF">2025-10-16T10:51:00Z</dcterms:created>
  <dcterms:modified xsi:type="dcterms:W3CDTF">2025-10-16T10:51:00Z</dcterms:modified>
</cp:coreProperties>
</file>