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Principal Conservation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TBC</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Planning and Transportation</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TBC</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Planning and Transport Strategy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1282"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The Conservation Officer will play a key role in protecting, enhancing and promoting the historic and architectural character and heritage of Tameside. The post holder will provide specialist heritage advice on planning applications, listed buildings, conservation areas and heritage at risk. They will help shape planning policy and develop positive strategies in relation to Tameside’s historic environment, ensuring that development proposals respect local character, heritage significance, and contribute positively to place</w:t>
              <w:noBreakHyphen/>
              <w:t>shaping.</w:t>
            </w:r>
          </w:p>
          <w:p>
            <w:pPr>
              <w:pStyle w:val="Normal"/>
              <w:spacing w:lineRule="auto" w:line="240" w:before="120" w:after="0"/>
              <w:jc w:val="both"/>
              <w:rPr/>
            </w:pPr>
            <w:r>
              <w:rPr>
                <w:rFonts w:cs="Arial" w:ascii="Arial" w:hAnsi="Arial"/>
                <w:bCs/>
                <w:sz w:val="22"/>
                <w:szCs w:val="22"/>
              </w:rPr>
              <w:t xml:space="preserve">This role takes on even greater significance following </w:t>
            </w:r>
            <w:r>
              <w:rPr>
                <w:rFonts w:cs="Arial" w:ascii="Arial" w:hAnsi="Arial"/>
                <w:b/>
                <w:bCs/>
                <w:sz w:val="22"/>
                <w:szCs w:val="22"/>
              </w:rPr>
              <w:t xml:space="preserve">Tameside’s selection by the National Lottery Heritage Fund as one of the UK’s new “Heritage Places”, </w:t>
            </w:r>
            <w:r>
              <w:rPr>
                <w:rFonts w:cs="Arial" w:ascii="Arial" w:hAnsi="Arial"/>
                <w:bCs/>
                <w:sz w:val="22"/>
                <w:szCs w:val="22"/>
              </w:rPr>
              <w:t>the first designated Heritage Place in Greater Manchester and the North West. This long</w:t>
              <w:noBreakHyphen/>
              <w:t xml:space="preserve">term national investment aims to unlock the potential of local heritage to drive regeneration, strengthen community identity and boost economic and cultural vitality. </w:t>
            </w:r>
          </w:p>
          <w:p>
            <w:pPr>
              <w:pStyle w:val="Normal"/>
              <w:spacing w:lineRule="auto" w:line="240" w:before="120" w:after="0"/>
              <w:jc w:val="both"/>
              <w:rPr>
                <w:rFonts w:ascii="Arial" w:hAnsi="Arial" w:cs="Arial"/>
                <w:bCs/>
                <w:sz w:val="22"/>
                <w:szCs w:val="22"/>
              </w:rPr>
            </w:pPr>
            <w:r>
              <w:rPr>
                <w:rFonts w:cs="Arial" w:ascii="Arial" w:hAnsi="Arial"/>
                <w:bCs/>
                <w:sz w:val="22"/>
                <w:szCs w:val="22"/>
              </w:rPr>
              <w:t>The post holder will work collaboratively across planning, regeneration and growth, and will act as Tameside’s representative within the Greater Manchester Conservation Officers Group. They will strengthen our partnership with the Greater Manchester Archaeological Advisory Service and administer our shop front grant programme, ensuring proposals achieve excellence in design, maximise value to the borough’s conservation areas, and reflect local character and identity.</w:t>
            </w:r>
          </w:p>
          <w:p>
            <w:pPr>
              <w:pStyle w:val="Normal"/>
              <w:spacing w:lineRule="auto" w:line="240" w:before="120" w:after="0"/>
              <w:jc w:val="both"/>
              <w:rPr>
                <w:rFonts w:ascii="Arial" w:hAnsi="Arial" w:cs="Arial"/>
                <w:bCs/>
                <w:sz w:val="22"/>
                <w:szCs w:val="22"/>
              </w:rPr>
            </w:pPr>
            <w:r>
              <w:rPr>
                <w:rFonts w:cs="Arial" w:ascii="Arial" w:hAnsi="Arial"/>
                <w:bCs/>
                <w:sz w:val="22"/>
                <w:szCs w:val="22"/>
              </w:rPr>
              <w:t>The Conservation Officer will place a crucial role in manage a multidisciplinary team, also comprising of an Urban Design Officer and Landscape &amp; Arboriculture Officer. Together, this team will help deliver a coordinated and holistic approach to enhancing the borough’s built and natural environment, supporting high</w:t>
              <w:noBreakHyphen/>
              <w:t>quality place</w:t>
              <w:noBreakHyphen/>
              <w:t>making aligned with Tameside’s Heritage Place ambitions.</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5"/>
              </w:numPr>
              <w:spacing w:lineRule="auto" w:line="240" w:before="0" w:after="0"/>
              <w:rPr>
                <w:b w:val="false"/>
                <w:b w:val="false"/>
                <w:sz w:val="22"/>
                <w:szCs w:val="22"/>
              </w:rPr>
            </w:pPr>
            <w:r>
              <w:rPr>
                <w:b w:val="false"/>
                <w:sz w:val="22"/>
                <w:szCs w:val="22"/>
              </w:rPr>
              <w:t>Lead a dedicated multidisciplinary team of place-based professionals</w:t>
            </w:r>
          </w:p>
          <w:p>
            <w:pPr>
              <w:pStyle w:val="TextBody"/>
              <w:numPr>
                <w:ilvl w:val="0"/>
                <w:numId w:val="5"/>
              </w:numPr>
              <w:spacing w:lineRule="auto" w:line="240" w:before="0" w:after="0"/>
              <w:rPr>
                <w:b w:val="false"/>
                <w:b w:val="false"/>
                <w:sz w:val="22"/>
                <w:szCs w:val="22"/>
              </w:rPr>
            </w:pPr>
            <w:r>
              <w:rPr>
                <w:b w:val="false"/>
                <w:sz w:val="22"/>
                <w:szCs w:val="22"/>
              </w:rPr>
              <w:t>Provide specialist heritage and conservation advice on planning applications, including listed building consent and development within conservation areas</w:t>
            </w:r>
          </w:p>
          <w:p>
            <w:pPr>
              <w:pStyle w:val="TextBody"/>
              <w:numPr>
                <w:ilvl w:val="0"/>
                <w:numId w:val="5"/>
              </w:numPr>
              <w:spacing w:lineRule="auto" w:line="240" w:before="0" w:after="0"/>
              <w:rPr>
                <w:b w:val="false"/>
                <w:b w:val="false"/>
                <w:sz w:val="22"/>
                <w:szCs w:val="22"/>
              </w:rPr>
            </w:pPr>
            <w:r>
              <w:rPr>
                <w:b w:val="false"/>
                <w:sz w:val="22"/>
                <w:szCs w:val="22"/>
              </w:rPr>
              <w:t>Prepare and contribute to heritage-related planning documents, including Conservation Area Appraisals, Management Plans and Heritage Impact Assessments</w:t>
            </w:r>
          </w:p>
          <w:p>
            <w:pPr>
              <w:pStyle w:val="TextBody"/>
              <w:numPr>
                <w:ilvl w:val="0"/>
                <w:numId w:val="5"/>
              </w:numPr>
              <w:spacing w:lineRule="auto" w:line="240" w:before="0" w:after="0"/>
              <w:rPr>
                <w:b w:val="false"/>
                <w:b w:val="false"/>
                <w:sz w:val="22"/>
                <w:szCs w:val="22"/>
              </w:rPr>
            </w:pPr>
            <w:r>
              <w:rPr>
                <w:b w:val="false"/>
                <w:sz w:val="22"/>
                <w:szCs w:val="22"/>
              </w:rPr>
              <w:t>Lead or support heritage assessments to inform Local Plan policies and strategic planning work</w:t>
            </w:r>
          </w:p>
          <w:p>
            <w:pPr>
              <w:pStyle w:val="TextBody"/>
              <w:numPr>
                <w:ilvl w:val="0"/>
                <w:numId w:val="5"/>
              </w:numPr>
              <w:spacing w:lineRule="auto" w:line="240" w:before="0" w:after="0"/>
              <w:rPr>
                <w:b w:val="false"/>
                <w:b w:val="false"/>
                <w:sz w:val="22"/>
                <w:szCs w:val="22"/>
              </w:rPr>
            </w:pPr>
            <w:r>
              <w:rPr>
                <w:b w:val="false"/>
                <w:sz w:val="22"/>
                <w:szCs w:val="22"/>
              </w:rPr>
              <w:t>Lead and input into regeneration projects, ensuring proposals conserve and enhance historic character and promote sustainable re-use of heritage assets</w:t>
            </w:r>
          </w:p>
          <w:p>
            <w:pPr>
              <w:pStyle w:val="TextBody"/>
              <w:numPr>
                <w:ilvl w:val="0"/>
                <w:numId w:val="5"/>
              </w:numPr>
              <w:spacing w:lineRule="auto" w:line="240" w:before="0" w:after="0"/>
              <w:rPr>
                <w:b w:val="false"/>
                <w:b w:val="false"/>
                <w:sz w:val="22"/>
                <w:szCs w:val="22"/>
              </w:rPr>
            </w:pPr>
            <w:r>
              <w:rPr>
                <w:b w:val="false"/>
                <w:sz w:val="22"/>
                <w:szCs w:val="22"/>
              </w:rPr>
              <w:t>Support developer meetings, pre-application discussions and public consultation events relating to heritage matters</w:t>
            </w:r>
          </w:p>
          <w:p>
            <w:pPr>
              <w:pStyle w:val="TextBody"/>
              <w:numPr>
                <w:ilvl w:val="0"/>
                <w:numId w:val="5"/>
              </w:numPr>
              <w:spacing w:lineRule="auto" w:line="240" w:before="0" w:after="0"/>
              <w:rPr>
                <w:b w:val="false"/>
                <w:b w:val="false"/>
                <w:sz w:val="22"/>
                <w:szCs w:val="22"/>
              </w:rPr>
            </w:pPr>
            <w:r>
              <w:rPr>
                <w:b w:val="false"/>
                <w:sz w:val="22"/>
                <w:szCs w:val="22"/>
              </w:rPr>
              <w:t>Lead the establishment and ongoing management of Tameside’s local heritage list</w:t>
            </w:r>
          </w:p>
          <w:p>
            <w:pPr>
              <w:pStyle w:val="TextBody"/>
              <w:numPr>
                <w:ilvl w:val="0"/>
                <w:numId w:val="5"/>
              </w:numPr>
              <w:spacing w:lineRule="auto" w:line="240" w:before="0" w:after="0"/>
              <w:rPr>
                <w:b w:val="false"/>
                <w:b w:val="false"/>
                <w:bCs w:val="false"/>
                <w:sz w:val="22"/>
                <w:szCs w:val="22"/>
              </w:rPr>
            </w:pPr>
            <w:r>
              <w:rPr>
                <w:b w:val="false"/>
                <w:bCs w:val="false"/>
                <w:sz w:val="22"/>
                <w:szCs w:val="22"/>
              </w:rPr>
              <w:t>Provide expert advice to colleagues, elected Members, communities and partners on heritage, conservations, legislation and national planning policy</w:t>
            </w:r>
          </w:p>
          <w:p>
            <w:pPr>
              <w:pStyle w:val="TextBody"/>
              <w:numPr>
                <w:ilvl w:val="0"/>
                <w:numId w:val="5"/>
              </w:numPr>
              <w:spacing w:lineRule="auto" w:line="240" w:before="0" w:after="0"/>
              <w:rPr>
                <w:b w:val="false"/>
                <w:b w:val="false"/>
                <w:bCs w:val="false"/>
                <w:sz w:val="22"/>
                <w:szCs w:val="22"/>
              </w:rPr>
            </w:pPr>
            <w:r>
              <w:rPr>
                <w:b w:val="false"/>
                <w:bCs w:val="false"/>
                <w:sz w:val="22"/>
                <w:szCs w:val="22"/>
              </w:rPr>
              <w:t>Carry out site visits, heritage assessments, photographic surveys to support planning and regeneration projects</w:t>
            </w:r>
          </w:p>
          <w:p>
            <w:pPr>
              <w:pStyle w:val="TextBody"/>
              <w:numPr>
                <w:ilvl w:val="0"/>
                <w:numId w:val="5"/>
              </w:numPr>
              <w:spacing w:lineRule="auto" w:line="240" w:before="0" w:after="0"/>
              <w:rPr>
                <w:b w:val="false"/>
                <w:b w:val="false"/>
                <w:bCs w:val="false"/>
                <w:sz w:val="22"/>
                <w:szCs w:val="22"/>
              </w:rPr>
            </w:pPr>
            <w:r>
              <w:rPr>
                <w:b w:val="false"/>
                <w:bCs w:val="false"/>
                <w:sz w:val="22"/>
                <w:szCs w:val="22"/>
              </w:rPr>
              <w:t>Promote awareness and understanding of Tameside’s historic environment and advocate for high quality conservation outcomes</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rFonts w:eastAsia="Calibri"/>
                <w:bCs/>
              </w:rPr>
            </w:pPr>
            <w:r>
              <w:rPr>
                <w:rFonts w:eastAsia="Calibri"/>
                <w:bCs/>
              </w:rPr>
              <w:t>Degree in historic building conservation, architecture, planning, heritage management, archaeology, or a closely related discipline</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rPr>
            </w:pPr>
            <w:r>
              <w:rPr>
                <w:rFonts w:cs="Arial" w:ascii="Arial" w:hAnsi="Arial"/>
              </w:rPr>
              <w:t>Demonstrable experience developing and delivering positive strategies to bring heritage at risk back into active, sustainable use, helping secure its long-term future through viable conservation</w:t>
              <w:noBreakHyphen/>
              <w:t>led solutions</w:t>
            </w:r>
          </w:p>
          <w:p>
            <w:pPr>
              <w:pStyle w:val="NoSpacing"/>
              <w:numPr>
                <w:ilvl w:val="0"/>
                <w:numId w:val="3"/>
              </w:numPr>
              <w:spacing w:lineRule="auto" w:line="240" w:before="0" w:after="0"/>
              <w:rPr>
                <w:rFonts w:ascii="Arial" w:hAnsi="Arial" w:cs="Arial"/>
                <w:bCs/>
              </w:rPr>
            </w:pPr>
            <w:r>
              <w:rPr>
                <w:rFonts w:cs="Arial" w:ascii="Arial" w:hAnsi="Arial"/>
                <w:bCs/>
              </w:rPr>
              <w:t>Extensive experience in providing specialist heritage advice on planning applications, listed building consent, conservation areas and heritage at risk</w:t>
            </w:r>
          </w:p>
          <w:p>
            <w:pPr>
              <w:pStyle w:val="NoSpacing"/>
              <w:numPr>
                <w:ilvl w:val="0"/>
                <w:numId w:val="3"/>
              </w:numPr>
              <w:spacing w:lineRule="auto" w:line="240" w:before="0" w:after="0"/>
              <w:rPr>
                <w:rFonts w:ascii="Arial" w:hAnsi="Arial" w:cs="Arial"/>
                <w:bCs/>
              </w:rPr>
            </w:pPr>
            <w:r>
              <w:rPr>
                <w:rFonts w:cs="Arial" w:ascii="Arial" w:hAnsi="Arial"/>
                <w:bCs/>
              </w:rPr>
              <w:t>Strong understanding of national and local heritage legislation and policy</w:t>
            </w:r>
          </w:p>
          <w:p>
            <w:pPr>
              <w:pStyle w:val="NoSpacing"/>
              <w:numPr>
                <w:ilvl w:val="0"/>
                <w:numId w:val="3"/>
              </w:numPr>
              <w:spacing w:lineRule="auto" w:line="240" w:before="0" w:after="0"/>
              <w:rPr>
                <w:rFonts w:ascii="Arial" w:hAnsi="Arial" w:cs="Arial"/>
                <w:bCs/>
              </w:rPr>
            </w:pPr>
            <w:r>
              <w:rPr>
                <w:rFonts w:cs="Arial" w:ascii="Arial" w:hAnsi="Arial"/>
                <w:bCs/>
              </w:rPr>
              <w:t>Demonstrable experience preparing, interpreting and applying heritage related policies and guidance, including Conservation Area Appraisals, Management Plans and heritage led design guidance</w:t>
            </w:r>
          </w:p>
          <w:p>
            <w:pPr>
              <w:pStyle w:val="NoSpacing"/>
              <w:numPr>
                <w:ilvl w:val="0"/>
                <w:numId w:val="3"/>
              </w:numPr>
              <w:spacing w:lineRule="auto" w:line="240" w:before="0" w:after="0"/>
              <w:rPr>
                <w:rFonts w:ascii="Arial" w:hAnsi="Arial" w:cs="Arial"/>
                <w:bCs/>
              </w:rPr>
            </w:pPr>
            <w:r>
              <w:rPr>
                <w:rFonts w:cs="Arial" w:ascii="Arial" w:hAnsi="Arial"/>
                <w:bCs/>
              </w:rPr>
              <w:t>Proven ability to assess the significance and condition of historic buildings, experience of providing advice on appropriate repair and construction methods and the evaluation of impact of development on heritage assets</w:t>
            </w:r>
          </w:p>
          <w:p>
            <w:pPr>
              <w:pStyle w:val="NoSpacing"/>
              <w:numPr>
                <w:ilvl w:val="0"/>
                <w:numId w:val="3"/>
              </w:numPr>
              <w:spacing w:lineRule="auto" w:line="240" w:before="0" w:after="0"/>
              <w:rPr>
                <w:rFonts w:ascii="Arial" w:hAnsi="Arial" w:cs="Arial"/>
                <w:bCs/>
              </w:rPr>
            </w:pPr>
            <w:r>
              <w:rPr>
                <w:rFonts w:cs="Arial" w:ascii="Arial" w:hAnsi="Arial"/>
                <w:bCs/>
              </w:rPr>
              <w:t>Experience leading or coordinating multidisciplinary work, supporting planners, urban designers, archaeologies, regeneration teams and external partners</w:t>
            </w:r>
          </w:p>
          <w:p>
            <w:pPr>
              <w:pStyle w:val="NoSpacing"/>
              <w:numPr>
                <w:ilvl w:val="0"/>
                <w:numId w:val="3"/>
              </w:numPr>
              <w:spacing w:lineRule="auto" w:line="240" w:before="0" w:after="0"/>
              <w:rPr>
                <w:rFonts w:ascii="Arial" w:hAnsi="Arial" w:cs="Arial"/>
                <w:bCs/>
              </w:rPr>
            </w:pPr>
            <w:r>
              <w:rPr>
                <w:rFonts w:cs="Arial" w:ascii="Arial" w:hAnsi="Arial"/>
                <w:bCs/>
              </w:rPr>
              <w:t xml:space="preserve">Ability to communicate complex heritage and design concepts clearly, both visually and in written technical reports </w:t>
            </w:r>
          </w:p>
          <w:p>
            <w:pPr>
              <w:pStyle w:val="NoSpacing"/>
              <w:numPr>
                <w:ilvl w:val="0"/>
                <w:numId w:val="3"/>
              </w:numPr>
              <w:spacing w:lineRule="auto" w:line="240" w:before="0" w:after="0"/>
              <w:rPr>
                <w:rFonts w:ascii="Arial" w:hAnsi="Arial" w:cs="Arial"/>
                <w:bCs/>
              </w:rPr>
            </w:pPr>
            <w:r>
              <w:rPr>
                <w:rFonts w:cs="Arial" w:ascii="Arial" w:hAnsi="Arial"/>
                <w:bCs/>
              </w:rPr>
              <w:t xml:space="preserve">Experience of working collaboratively with developers, communities, businesses and partner organisations, often balancing competing priorities </w:t>
            </w:r>
          </w:p>
          <w:p>
            <w:pPr>
              <w:pStyle w:val="NoSpacing"/>
              <w:numPr>
                <w:ilvl w:val="0"/>
                <w:numId w:val="3"/>
              </w:numPr>
              <w:spacing w:lineRule="auto" w:line="240" w:before="0" w:after="0"/>
              <w:rPr>
                <w:rFonts w:ascii="Arial" w:hAnsi="Arial" w:cs="Arial"/>
                <w:bCs/>
              </w:rPr>
            </w:pPr>
            <w:r>
              <w:rPr>
                <w:rFonts w:cs="Arial" w:ascii="Arial" w:hAnsi="Arial"/>
                <w:bCs/>
              </w:rPr>
              <w:t xml:space="preserve">Strong written and verbal communication skills, including presenting advice to committees, stakeholders and community groups </w:t>
            </w:r>
          </w:p>
          <w:p>
            <w:pPr>
              <w:pStyle w:val="NoSpacing"/>
              <w:numPr>
                <w:ilvl w:val="0"/>
                <w:numId w:val="3"/>
              </w:numPr>
              <w:spacing w:lineRule="auto" w:line="240" w:before="0" w:after="0"/>
              <w:rPr>
                <w:rFonts w:ascii="Arial" w:hAnsi="Arial" w:cs="Arial"/>
                <w:bCs/>
              </w:rPr>
            </w:pPr>
            <w:r>
              <w:rPr>
                <w:rFonts w:cs="Arial" w:ascii="Arial" w:hAnsi="Arial"/>
                <w:bCs/>
              </w:rPr>
              <w:t>Good working knowledge of sustainability, climate resilience and how these principles relate to heritage-led placemaking</w:t>
            </w:r>
          </w:p>
          <w:p>
            <w:pPr>
              <w:pStyle w:val="NoSpacing"/>
              <w:numPr>
                <w:ilvl w:val="0"/>
                <w:numId w:val="3"/>
              </w:numPr>
              <w:spacing w:lineRule="auto" w:line="240" w:before="0" w:after="0"/>
              <w:rPr>
                <w:rFonts w:ascii="Arial" w:hAnsi="Arial" w:cs="Arial"/>
                <w:bCs/>
              </w:rPr>
            </w:pPr>
            <w:r>
              <w:rPr>
                <w:rFonts w:cs="Arial" w:ascii="Arial" w:hAnsi="Arial"/>
                <w:bCs/>
              </w:rPr>
              <w:t>Evidence of continuous professional development in heritage conservation, historic environment policy or related specialisms</w:t>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
                <w:b/>
                <w:bCs/>
                <w:sz w:val="20"/>
                <w:szCs w:val="20"/>
              </w:rPr>
            </w:pPr>
            <w:r>
              <w:rPr>
                <w:rFonts w:cs="Arial" w:ascii="Arial" w:hAnsi="Arial"/>
                <w:b/>
                <w:bCs/>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4"/>
              </w:numPr>
              <w:spacing w:lineRule="auto" w:line="240" w:before="0" w:after="0"/>
              <w:contextualSpacing/>
              <w:rPr/>
            </w:pPr>
            <w:r>
              <w:rPr/>
              <w:t>Proficiency with relevant heritage and planning tools, such as GIS, CAD (advantageous), and software used to produce clear graphical and spatial information</w:t>
            </w:r>
          </w:p>
          <w:p>
            <w:pPr>
              <w:pStyle w:val="ListParagraph"/>
              <w:numPr>
                <w:ilvl w:val="0"/>
                <w:numId w:val="4"/>
              </w:numPr>
              <w:spacing w:lineRule="auto" w:line="240" w:before="0" w:after="0"/>
              <w:contextualSpacing/>
              <w:rPr/>
            </w:pPr>
            <w:r>
              <w:rPr/>
              <w:t xml:space="preserve">Experience working within a local authority planning, regeneration or growth team, particularly on heritage-led projects </w:t>
            </w:r>
          </w:p>
          <w:p>
            <w:pPr>
              <w:pStyle w:val="ListParagraph"/>
              <w:numPr>
                <w:ilvl w:val="0"/>
                <w:numId w:val="4"/>
              </w:numPr>
              <w:spacing w:lineRule="auto" w:line="240" w:before="0" w:after="0"/>
              <w:contextualSpacing/>
              <w:rPr/>
            </w:pPr>
            <w:r>
              <w:rPr/>
              <w:t>Experience operating within a combined authority or city-region setting, contributing to cross</w:t>
              <w:noBreakHyphen/>
              <w:t xml:space="preserve">boundary heritage, design or placemaking initiatives </w:t>
            </w:r>
          </w:p>
          <w:p>
            <w:pPr>
              <w:pStyle w:val="ListParagraph"/>
              <w:numPr>
                <w:ilvl w:val="0"/>
                <w:numId w:val="4"/>
              </w:numPr>
              <w:spacing w:lineRule="auto" w:line="240" w:before="0" w:after="0"/>
              <w:contextualSpacing/>
              <w:rPr/>
            </w:pPr>
            <w:r>
              <w:rPr/>
              <w:t xml:space="preserve">Professional accreditation or eligibility for accreditation, such as IHBC, RTPI, RIBA, CIfA or other relevant institute membership </w:t>
            </w:r>
          </w:p>
          <w:p>
            <w:pPr>
              <w:pStyle w:val="ListParagraph"/>
              <w:numPr>
                <w:ilvl w:val="0"/>
                <w:numId w:val="4"/>
              </w:numPr>
              <w:spacing w:lineRule="auto" w:line="240" w:before="0" w:after="0"/>
              <w:contextualSpacing/>
              <w:rPr/>
            </w:pPr>
            <w:r>
              <w:rPr/>
              <w:t xml:space="preserve">Experience managing or mentoring staff, consultants or project teams </w:t>
            </w:r>
          </w:p>
          <w:p>
            <w:pPr>
              <w:pStyle w:val="ListParagraph"/>
              <w:numPr>
                <w:ilvl w:val="0"/>
                <w:numId w:val="4"/>
              </w:numPr>
              <w:spacing w:lineRule="auto" w:line="240" w:before="0" w:after="0"/>
              <w:contextualSpacing/>
              <w:rPr/>
            </w:pPr>
            <w:r>
              <w:rPr/>
              <w:t xml:space="preserve">Experience delivering heritage grant programmes, conservation area enhancements, traditional shopfront schemes or similar initiatives </w:t>
            </w:r>
          </w:p>
          <w:p>
            <w:pPr>
              <w:pStyle w:val="ListParagraph"/>
              <w:numPr>
                <w:ilvl w:val="0"/>
                <w:numId w:val="4"/>
              </w:numPr>
              <w:spacing w:lineRule="auto" w:line="240" w:before="0" w:after="0"/>
              <w:contextualSpacing/>
              <w:rPr/>
            </w:pPr>
            <w:r>
              <w:rPr/>
              <w:t>Knowledge of Greater Manchester heritage networks, including collaborative working with bodies such as GMAAS or GM Conservation Officers Group</w:t>
            </w:r>
          </w:p>
          <w:p>
            <w:pPr>
              <w:pStyle w:val="ListParagraph"/>
              <w:spacing w:lineRule="auto" w:line="240" w:before="0" w:after="0"/>
              <w:contextualSpacing/>
              <w:rPr/>
            </w:pPr>
            <w:r>
              <w:rPr/>
            </w:r>
          </w:p>
          <w:p>
            <w:pPr>
              <w:pStyle w:val="ListParagraph"/>
              <w:spacing w:lineRule="auto" w:line="240" w:before="0" w:after="0"/>
              <w:contextualSpacing/>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The opportunity to be involved in major regeneration and development projects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Professional development, training and progression opportunities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A collaborative, growth focused culture, where your ideas, expertise and feedback are valued</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The chance to be creative and innovative in shaping Tameside for current and future generations</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Normal.dotm</Template>
  <TotalTime>1375</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2026-03-12T18:11:00Z</dcterms:created>
  <dc:creator>Bernadette Wilde</dc:creator>
  <dc:description/>
  <dc:language>en-US</dc:language>
  <cp:lastModifiedBy>Graham Holland</cp:lastModifiedBy>
  <cp:lastPrinted>1995-11-21T17:41:00Z</cp:lastPrinted>
  <dcterms:modified xsi:type="dcterms:W3CDTF">2026-03-27T17:57:00Z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ContentTypeId">
    <vt:lpwstr>0x01010012A41787E6FDDA45BB10606854238C3E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