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Mary’s RC Primary School, Kynder Street, Denton, Manchester, M34 2AR and are a VA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Global Policing and you can contact them with any questions relating to our handling of your data.  You can contact them by e-mailing data@globalpolicing.co.uk</w:t>
      </w:r>
    </w:p>
    <w:p>
      <w:pPr>
        <w:pStyle w:val="ListParagraph"/>
        <w:jc w:val="both"/>
        <w:rPr/>
      </w:pPr>
      <w:r>
        <w:rPr/>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 at data@globalpolicing.co.uk.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2026-06-29T07:14:00Z</dcterms:created>
  <dc:creator>Keri Goddard</dc:creator>
  <dc:description/>
  <dc:language>en-US</dc:language>
  <cp:lastModifiedBy>Denise Fitzgerald</cp:lastModifiedBy>
  <cp:lastPrinted>1995-11-21T17:41:00Z</cp:lastPrinted>
  <dcterms:modified xsi:type="dcterms:W3CDTF">2026-06-29T07:14:00Z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