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_rels/header1.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2.jpeg" ContentType="image/jpeg"/>
  <Override PartName="/word/media/image3.jpeg" ContentType="image/jpe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ascii="Arial" w:hAnsi="Arial" w:cs="Arial"/>
          <w:b/>
          <w:b/>
          <w:bCs/>
          <w:sz w:val="22"/>
          <w:szCs w:val="22"/>
          <w:u w:val="single"/>
        </w:rPr>
      </w:pPr>
      <w:r>
        <w:rPr>
          <w:rFonts w:cs="Arial" w:ascii="Arial" w:hAnsi="Arial"/>
          <w:b/>
          <w:bCs/>
          <w:sz w:val="22"/>
          <w:szCs w:val="22"/>
          <w:u w:val="single"/>
        </w:rPr>
        <w:t>Job Description and Person Specification Profile</w:t>
      </w:r>
    </w:p>
    <w:p>
      <w:pPr>
        <w:pStyle w:val="Normal"/>
        <w:jc w:val="center"/>
        <w:rPr>
          <w:rFonts w:ascii="Arial" w:hAnsi="Arial" w:cs="Arial"/>
          <w:b/>
          <w:b/>
          <w:bCs/>
          <w:sz w:val="22"/>
          <w:szCs w:val="22"/>
        </w:rPr>
      </w:pPr>
      <w:r>
        <w:rPr>
          <w:rFonts w:cs="Arial" w:ascii="Arial" w:hAnsi="Arial"/>
          <w:b/>
          <w:bCs/>
          <w:sz w:val="22"/>
          <w:szCs w:val="22"/>
        </w:rPr>
      </w:r>
    </w:p>
    <w:tbl>
      <w:tblPr>
        <w:tblW w:w="9616" w:type="dxa"/>
        <w:jc w:val="left"/>
        <w:tblInd w:w="0" w:type="dxa"/>
        <w:tblCellMar>
          <w:top w:w="0" w:type="dxa"/>
          <w:left w:w="108" w:type="dxa"/>
          <w:bottom w:w="0" w:type="dxa"/>
          <w:right w:w="108" w:type="dxa"/>
        </w:tblCellMar>
      </w:tblPr>
      <w:tblGrid>
        <w:gridCol w:w="3076"/>
        <w:gridCol w:w="6540"/>
      </w:tblGrid>
      <w:tr>
        <w:trPr/>
        <w:tc>
          <w:tcPr>
            <w:tcW w:w="3076" w:type="dxa"/>
            <w:tcBorders/>
            <w:shd w:fill="auto" w:val="clear"/>
          </w:tcPr>
          <w:p>
            <w:pPr>
              <w:pStyle w:val="Normal"/>
              <w:spacing w:lineRule="auto" w:line="240" w:before="0" w:after="0"/>
              <w:rPr>
                <w:rFonts w:ascii="Arial" w:hAnsi="Arial" w:cs="Arial"/>
                <w:b/>
                <w:b/>
                <w:bCs/>
                <w:sz w:val="22"/>
                <w:szCs w:val="22"/>
              </w:rPr>
            </w:pPr>
            <w:r>
              <w:rPr>
                <w:rFonts w:cs="Arial" w:ascii="Arial" w:hAnsi="Arial"/>
                <w:b/>
                <w:bCs/>
                <w:sz w:val="22"/>
                <w:szCs w:val="22"/>
              </w:rPr>
              <w:t>JobTitle:Business/Systems manager</w:t>
            </w:r>
          </w:p>
        </w:tc>
        <w:tc>
          <w:tcPr>
            <w:tcW w:w="6540" w:type="dxa"/>
            <w:tcBorders/>
            <w:shd w:fill="auto" w:val="clear"/>
          </w:tcPr>
          <w:p>
            <w:pPr>
              <w:pStyle w:val="Normal"/>
              <w:snapToGrid w:val="false"/>
              <w:spacing w:lineRule="auto" w:line="240" w:before="0" w:after="0"/>
              <w:rPr>
                <w:rFonts w:ascii="Arial" w:hAnsi="Arial" w:cs="Arial"/>
                <w:sz w:val="22"/>
                <w:szCs w:val="22"/>
              </w:rPr>
            </w:pPr>
            <w:r>
              <w:rPr>
                <w:rFonts w:cs="Arial" w:ascii="Arial" w:hAnsi="Arial"/>
                <w:sz w:val="22"/>
                <w:szCs w:val="22"/>
              </w:rPr>
            </w:r>
          </w:p>
        </w:tc>
      </w:tr>
      <w:tr>
        <w:trPr/>
        <w:tc>
          <w:tcPr>
            <w:tcW w:w="3076" w:type="dxa"/>
            <w:tcBorders/>
            <w:shd w:fill="auto" w:val="clear"/>
          </w:tcPr>
          <w:p>
            <w:pPr>
              <w:pStyle w:val="Normal"/>
              <w:spacing w:lineRule="auto" w:line="240" w:before="0" w:after="0"/>
              <w:rPr>
                <w:rFonts w:ascii="Arial" w:hAnsi="Arial" w:cs="Arial"/>
                <w:b/>
                <w:b/>
                <w:bCs/>
                <w:sz w:val="22"/>
                <w:szCs w:val="22"/>
              </w:rPr>
            </w:pPr>
            <w:r>
              <w:rPr>
                <w:rFonts w:cs="Arial" w:ascii="Arial" w:hAnsi="Arial"/>
                <w:b/>
                <w:bCs/>
                <w:sz w:val="22"/>
                <w:szCs w:val="22"/>
              </w:rPr>
              <w:t>Job ID F82</w:t>
            </w:r>
          </w:p>
        </w:tc>
        <w:tc>
          <w:tcPr>
            <w:tcW w:w="6540" w:type="dxa"/>
            <w:tcBorders/>
            <w:shd w:fill="auto" w:val="clear"/>
          </w:tcPr>
          <w:p>
            <w:pPr>
              <w:pStyle w:val="Normal"/>
              <w:snapToGrid w:val="false"/>
              <w:spacing w:lineRule="auto" w:line="240" w:before="0" w:after="0"/>
              <w:rPr>
                <w:rFonts w:ascii="Arial" w:hAnsi="Arial" w:cs="Arial"/>
                <w:sz w:val="22"/>
                <w:szCs w:val="22"/>
              </w:rPr>
            </w:pPr>
            <w:r>
              <w:rPr>
                <w:rFonts w:cs="Arial" w:ascii="Arial" w:hAnsi="Arial"/>
                <w:sz w:val="22"/>
                <w:szCs w:val="22"/>
              </w:rPr>
            </w:r>
          </w:p>
        </w:tc>
      </w:tr>
      <w:tr>
        <w:trPr/>
        <w:tc>
          <w:tcPr>
            <w:tcW w:w="3076" w:type="dxa"/>
            <w:tcBorders/>
            <w:shd w:fill="auto" w:val="clear"/>
          </w:tcPr>
          <w:p>
            <w:pPr>
              <w:pStyle w:val="Normal"/>
              <w:spacing w:lineRule="auto" w:line="240" w:before="0" w:after="0"/>
              <w:rPr>
                <w:rFonts w:ascii="Arial" w:hAnsi="Arial" w:cs="Arial"/>
                <w:b/>
                <w:b/>
                <w:bCs/>
                <w:sz w:val="22"/>
                <w:szCs w:val="22"/>
              </w:rPr>
            </w:pPr>
            <w:r>
              <w:rPr>
                <w:rFonts w:cs="Arial" w:ascii="Arial" w:hAnsi="Arial"/>
                <w:b/>
                <w:bCs/>
                <w:sz w:val="22"/>
                <w:szCs w:val="22"/>
              </w:rPr>
              <w:t>Service Waste and Fleet Management</w:t>
            </w:r>
          </w:p>
        </w:tc>
        <w:tc>
          <w:tcPr>
            <w:tcW w:w="6540" w:type="dxa"/>
            <w:tcBorders/>
            <w:shd w:fill="auto" w:val="clear"/>
          </w:tcPr>
          <w:p>
            <w:pPr>
              <w:pStyle w:val="Normal"/>
              <w:snapToGrid w:val="false"/>
              <w:spacing w:lineRule="auto" w:line="240" w:before="0" w:after="0"/>
              <w:rPr>
                <w:rFonts w:ascii="Arial" w:hAnsi="Arial" w:cs="Arial"/>
                <w:sz w:val="22"/>
                <w:szCs w:val="22"/>
              </w:rPr>
            </w:pPr>
            <w:r>
              <w:rPr>
                <w:rFonts w:cs="Arial" w:ascii="Arial" w:hAnsi="Arial"/>
                <w:sz w:val="22"/>
                <w:szCs w:val="22"/>
              </w:rPr>
            </w:r>
          </w:p>
        </w:tc>
      </w:tr>
      <w:tr>
        <w:trPr/>
        <w:tc>
          <w:tcPr>
            <w:tcW w:w="3076" w:type="dxa"/>
            <w:tcBorders/>
            <w:shd w:fill="auto" w:val="clear"/>
          </w:tcPr>
          <w:p>
            <w:pPr>
              <w:pStyle w:val="Normal"/>
              <w:spacing w:lineRule="auto" w:line="240" w:before="0" w:after="0"/>
              <w:rPr>
                <w:rFonts w:ascii="Arial" w:hAnsi="Arial" w:cs="Arial"/>
                <w:b/>
                <w:b/>
                <w:bCs/>
                <w:sz w:val="22"/>
                <w:szCs w:val="22"/>
              </w:rPr>
            </w:pPr>
            <w:r>
              <w:rPr>
                <w:rFonts w:cs="Arial" w:ascii="Arial" w:hAnsi="Arial"/>
                <w:b/>
                <w:bCs/>
                <w:sz w:val="22"/>
                <w:szCs w:val="22"/>
              </w:rPr>
              <w:t>Grade H</w:t>
            </w:r>
          </w:p>
        </w:tc>
        <w:tc>
          <w:tcPr>
            <w:tcW w:w="6540" w:type="dxa"/>
            <w:tcBorders/>
            <w:shd w:fill="auto" w:val="clear"/>
          </w:tcPr>
          <w:p>
            <w:pPr>
              <w:pStyle w:val="Normal"/>
              <w:snapToGrid w:val="false"/>
              <w:spacing w:lineRule="auto" w:line="240" w:before="0" w:after="0"/>
              <w:rPr>
                <w:rFonts w:ascii="Arial" w:hAnsi="Arial" w:cs="Arial"/>
                <w:sz w:val="22"/>
                <w:szCs w:val="22"/>
              </w:rPr>
            </w:pPr>
            <w:r>
              <w:rPr>
                <w:rFonts w:cs="Arial" w:ascii="Arial" w:hAnsi="Arial"/>
                <w:sz w:val="22"/>
                <w:szCs w:val="22"/>
              </w:rPr>
            </w:r>
          </w:p>
        </w:tc>
      </w:tr>
      <w:tr>
        <w:trPr/>
        <w:tc>
          <w:tcPr>
            <w:tcW w:w="3076" w:type="dxa"/>
            <w:tcBorders/>
            <w:shd w:fill="auto" w:val="clear"/>
          </w:tcPr>
          <w:p>
            <w:pPr>
              <w:pStyle w:val="Normal"/>
              <w:spacing w:lineRule="auto" w:line="240" w:before="0" w:after="0"/>
              <w:rPr>
                <w:rFonts w:ascii="Arial" w:hAnsi="Arial" w:cs="Arial"/>
                <w:b/>
                <w:b/>
                <w:bCs/>
                <w:sz w:val="22"/>
                <w:szCs w:val="22"/>
              </w:rPr>
            </w:pPr>
            <w:r>
              <w:rPr>
                <w:rFonts w:cs="Arial" w:ascii="Arial" w:hAnsi="Arial"/>
                <w:b/>
                <w:bCs/>
                <w:sz w:val="22"/>
                <w:szCs w:val="22"/>
              </w:rPr>
              <w:t>Reporting to: Group Engineering manager</w:t>
            </w:r>
          </w:p>
        </w:tc>
        <w:tc>
          <w:tcPr>
            <w:tcW w:w="6540" w:type="dxa"/>
            <w:tcBorders/>
            <w:shd w:fill="auto" w:val="clear"/>
          </w:tcPr>
          <w:p>
            <w:pPr>
              <w:pStyle w:val="Normal"/>
              <w:snapToGrid w:val="false"/>
              <w:spacing w:lineRule="auto" w:line="240" w:before="0" w:after="0"/>
              <w:rPr>
                <w:rFonts w:ascii="Arial" w:hAnsi="Arial" w:cs="Arial"/>
                <w:sz w:val="22"/>
                <w:szCs w:val="22"/>
              </w:rPr>
            </w:pPr>
            <w:r>
              <w:rPr>
                <w:rFonts w:cs="Arial" w:ascii="Arial" w:hAnsi="Arial"/>
                <w:sz w:val="22"/>
                <w:szCs w:val="22"/>
              </w:rPr>
            </w:r>
          </w:p>
        </w:tc>
      </w:tr>
    </w:tbl>
    <w:p>
      <w:pPr>
        <w:pStyle w:val="Normal"/>
        <w:spacing w:lineRule="auto" w:line="276"/>
        <w:jc w:val="both"/>
        <w:rPr>
          <w:rFonts w:ascii="Arial" w:hAnsi="Arial" w:eastAsia="Calibri" w:cs="Arial"/>
          <w:b/>
          <w:b/>
          <w:sz w:val="22"/>
          <w:szCs w:val="22"/>
        </w:rPr>
      </w:pPr>
      <w:r>
        <w:rPr>
          <w:rFonts w:eastAsia="Calibri" w:cs="Arial" w:ascii="Arial" w:hAnsi="Arial"/>
          <w:b/>
          <w:sz w:val="22"/>
          <w:szCs w:val="22"/>
        </w:rPr>
      </w:r>
    </w:p>
    <w:tbl>
      <w:tblPr>
        <w:tblW w:w="9520" w:type="dxa"/>
        <w:jc w:val="left"/>
        <w:tblInd w:w="0" w:type="dxa"/>
        <w:tblCellMar>
          <w:top w:w="0" w:type="dxa"/>
          <w:left w:w="108" w:type="dxa"/>
          <w:bottom w:w="0" w:type="dxa"/>
          <w:right w:w="108" w:type="dxa"/>
        </w:tblCellMar>
      </w:tblPr>
      <w:tblGrid>
        <w:gridCol w:w="9520"/>
      </w:tblGrid>
      <w:tr>
        <w:trPr/>
        <w:tc>
          <w:tcPr>
            <w:tcW w:w="9520" w:type="dxa"/>
            <w:tcBorders>
              <w:top w:val="single" w:sz="18" w:space="0" w:color="7030A0"/>
              <w:left w:val="single" w:sz="18" w:space="0" w:color="7030A0"/>
              <w:bottom w:val="single" w:sz="18" w:space="0" w:color="7030A0"/>
              <w:right w:val="single" w:sz="18" w:space="0" w:color="7030A0"/>
            </w:tcBorders>
            <w:shd w:fill="FFE599" w:val="clear"/>
          </w:tcPr>
          <w:p>
            <w:pPr>
              <w:pStyle w:val="Normal"/>
              <w:spacing w:lineRule="auto" w:line="240" w:before="0" w:after="0"/>
              <w:rPr>
                <w:rFonts w:ascii="Arial" w:hAnsi="Arial" w:eastAsia="Calibri" w:cs="Arial"/>
                <w:b/>
                <w:b/>
                <w:sz w:val="22"/>
                <w:szCs w:val="22"/>
              </w:rPr>
            </w:pPr>
            <w:r>
              <w:rPr>
                <w:rFonts w:eastAsia="Calibri" w:cs="Arial" w:ascii="Arial" w:hAnsi="Arial"/>
                <w:b/>
                <w:sz w:val="22"/>
                <w:szCs w:val="22"/>
              </w:rPr>
              <w:t>The Role</w:t>
            </w:r>
          </w:p>
        </w:tc>
      </w:tr>
      <w:tr>
        <w:trPr>
          <w:trHeight w:val="3313" w:hRule="atLeast"/>
        </w:trPr>
        <w:tc>
          <w:tcPr>
            <w:tcW w:w="9520" w:type="dxa"/>
            <w:tcBorders>
              <w:top w:val="single" w:sz="18" w:space="0" w:color="7030A0"/>
              <w:left w:val="single" w:sz="18" w:space="0" w:color="7030A0"/>
              <w:bottom w:val="single" w:sz="18" w:space="0" w:color="7030A0"/>
              <w:right w:val="single" w:sz="18" w:space="0" w:color="7030A0"/>
            </w:tcBorders>
            <w:shd w:fill="auto" w:val="clear"/>
          </w:tcPr>
          <w:p>
            <w:pPr>
              <w:pStyle w:val="Normal"/>
              <w:spacing w:lineRule="auto" w:line="240" w:before="120" w:after="0"/>
              <w:jc w:val="both"/>
              <w:rPr>
                <w:rFonts w:ascii="Arial" w:hAnsi="Arial" w:cs="Arial"/>
                <w:bCs/>
                <w:sz w:val="22"/>
                <w:szCs w:val="22"/>
              </w:rPr>
            </w:pPr>
            <w:r>
              <w:rPr>
                <w:rFonts w:cs="Arial" w:ascii="Arial" w:hAnsi="Arial"/>
                <w:bCs/>
                <w:sz w:val="22"/>
                <w:szCs w:val="22"/>
              </w:rPr>
              <w:t>The Transport Business and Systems Manager is responsible for leading the development, implementation, and optimisation of transport systems, business processes, and performance management frameworks. The role ensures transport operations are supported by effective technology, accurate data, robust reporting, and continuous improvement initiatives to enhance operational efficiency, compliance, customer service, and cost performance.</w:t>
            </w:r>
          </w:p>
          <w:p>
            <w:pPr>
              <w:pStyle w:val="Normal"/>
              <w:spacing w:lineRule="auto" w:line="240" w:before="120" w:after="0"/>
              <w:jc w:val="both"/>
              <w:rPr>
                <w:rFonts w:ascii="Arial" w:hAnsi="Arial" w:cs="Arial"/>
                <w:b/>
                <w:b/>
                <w:sz w:val="22"/>
                <w:szCs w:val="22"/>
              </w:rPr>
            </w:pPr>
            <w:r>
              <w:rPr>
                <w:rFonts w:cs="Arial" w:ascii="Arial" w:hAnsi="Arial"/>
                <w:b/>
                <w:sz w:val="22"/>
                <w:szCs w:val="22"/>
              </w:rPr>
              <w:t>Main Duties and Responsibilities include:</w:t>
            </w:r>
          </w:p>
          <w:p>
            <w:pPr>
              <w:pStyle w:val="Default"/>
              <w:spacing w:lineRule="auto" w:line="240" w:before="0" w:after="0"/>
              <w:ind w:left="780" w:right="0" w:hanging="0"/>
              <w:rPr>
                <w:sz w:val="22"/>
                <w:szCs w:val="22"/>
                <w:highlight w:val="yellow"/>
              </w:rPr>
            </w:pPr>
            <w:r>
              <w:rPr>
                <w:sz w:val="22"/>
                <w:szCs w:val="22"/>
                <w:highlight w:val="yellow"/>
              </w:rPr>
            </w:r>
          </w:p>
          <w:p>
            <w:pPr>
              <w:pStyle w:val="TextBody"/>
              <w:numPr>
                <w:ilvl w:val="0"/>
                <w:numId w:val="5"/>
              </w:numPr>
              <w:spacing w:lineRule="auto" w:line="240" w:before="0" w:after="0"/>
              <w:rPr>
                <w:b w:val="false"/>
                <w:b w:val="false"/>
                <w:bCs w:val="false"/>
                <w:sz w:val="22"/>
                <w:szCs w:val="22"/>
              </w:rPr>
            </w:pPr>
            <w:r>
              <w:rPr>
                <w:b w:val="false"/>
                <w:bCs w:val="false"/>
                <w:sz w:val="22"/>
                <w:szCs w:val="22"/>
              </w:rPr>
              <w:t>Lead the administration, development, and optimisation of Transport Management Systems, fleet management systems, telematics platforms, and associated technologies.</w:t>
            </w:r>
          </w:p>
          <w:p>
            <w:pPr>
              <w:pStyle w:val="TextBody"/>
              <w:numPr>
                <w:ilvl w:val="0"/>
                <w:numId w:val="5"/>
              </w:numPr>
              <w:spacing w:lineRule="auto" w:line="240" w:before="0" w:after="0"/>
              <w:rPr>
                <w:b w:val="false"/>
                <w:b w:val="false"/>
                <w:bCs w:val="false"/>
                <w:sz w:val="22"/>
                <w:szCs w:val="22"/>
              </w:rPr>
            </w:pPr>
            <w:r>
              <w:rPr>
                <w:b w:val="false"/>
                <w:bCs w:val="false"/>
                <w:sz w:val="22"/>
                <w:szCs w:val="22"/>
              </w:rPr>
              <w:t xml:space="preserve">Manage system upgrades, testing, implementation, and user adoption. </w:t>
            </w:r>
          </w:p>
          <w:p>
            <w:pPr>
              <w:pStyle w:val="TextBody"/>
              <w:numPr>
                <w:ilvl w:val="0"/>
                <w:numId w:val="5"/>
              </w:numPr>
              <w:spacing w:lineRule="auto" w:line="240" w:before="0" w:after="0"/>
              <w:rPr>
                <w:b w:val="false"/>
                <w:b w:val="false"/>
                <w:bCs w:val="false"/>
                <w:sz w:val="22"/>
                <w:szCs w:val="22"/>
              </w:rPr>
            </w:pPr>
            <w:r>
              <w:rPr>
                <w:b w:val="false"/>
                <w:bCs w:val="false"/>
                <w:sz w:val="22"/>
                <w:szCs w:val="22"/>
              </w:rPr>
              <w:t xml:space="preserve">Act as the key liaison between transport operations, IT teams, software providers, and external stakeholders. </w:t>
            </w:r>
          </w:p>
          <w:p>
            <w:pPr>
              <w:pStyle w:val="TextBody"/>
              <w:numPr>
                <w:ilvl w:val="0"/>
                <w:numId w:val="5"/>
              </w:numPr>
              <w:spacing w:lineRule="auto" w:line="240" w:before="0" w:after="0"/>
              <w:rPr>
                <w:b w:val="false"/>
                <w:b w:val="false"/>
                <w:bCs w:val="false"/>
                <w:sz w:val="22"/>
                <w:szCs w:val="22"/>
              </w:rPr>
            </w:pPr>
            <w:r>
              <w:rPr>
                <w:b w:val="false"/>
                <w:bCs w:val="false"/>
                <w:sz w:val="22"/>
                <w:szCs w:val="22"/>
              </w:rPr>
              <w:t>Ensure data integrity, security, and compliance within transport systems.</w:t>
            </w:r>
          </w:p>
          <w:p>
            <w:pPr>
              <w:pStyle w:val="TextBody"/>
              <w:numPr>
                <w:ilvl w:val="0"/>
                <w:numId w:val="5"/>
              </w:numPr>
              <w:spacing w:lineRule="auto" w:line="240" w:before="0" w:after="0"/>
              <w:rPr>
                <w:b w:val="false"/>
                <w:b w:val="false"/>
                <w:bCs w:val="false"/>
                <w:sz w:val="22"/>
                <w:szCs w:val="22"/>
              </w:rPr>
            </w:pPr>
            <w:r>
              <w:rPr>
                <w:b w:val="false"/>
                <w:bCs w:val="false"/>
                <w:sz w:val="22"/>
                <w:szCs w:val="22"/>
              </w:rPr>
              <w:t>Support budget planning and cost management for transport systems and improvement projects. (Revenue and Capital monitoring)</w:t>
            </w:r>
          </w:p>
          <w:p>
            <w:pPr>
              <w:pStyle w:val="TextBody"/>
              <w:numPr>
                <w:ilvl w:val="0"/>
                <w:numId w:val="5"/>
              </w:numPr>
              <w:spacing w:lineRule="auto" w:line="240" w:before="0" w:after="0"/>
              <w:rPr>
                <w:b w:val="false"/>
                <w:b w:val="false"/>
                <w:bCs w:val="false"/>
                <w:sz w:val="22"/>
                <w:szCs w:val="22"/>
              </w:rPr>
            </w:pPr>
            <w:r>
              <w:rPr>
                <w:b w:val="false"/>
                <w:bCs w:val="false"/>
                <w:sz w:val="22"/>
                <w:szCs w:val="22"/>
              </w:rPr>
              <w:t xml:space="preserve">Monitor system-related expenditures and identify cost-saving opportunities. </w:t>
            </w:r>
          </w:p>
          <w:p>
            <w:pPr>
              <w:pStyle w:val="TextBody"/>
              <w:numPr>
                <w:ilvl w:val="0"/>
                <w:numId w:val="5"/>
              </w:numPr>
              <w:spacing w:lineRule="auto" w:line="240" w:before="0" w:after="0"/>
              <w:rPr>
                <w:b w:val="false"/>
                <w:b w:val="false"/>
                <w:bCs w:val="false"/>
                <w:sz w:val="22"/>
                <w:szCs w:val="22"/>
              </w:rPr>
            </w:pPr>
            <w:r>
              <w:rPr>
                <w:b w:val="false"/>
                <w:bCs w:val="false"/>
                <w:sz w:val="22"/>
                <w:szCs w:val="22"/>
              </w:rPr>
              <w:t>Evaluate return on investment for technology and process improvement initiatives.</w:t>
            </w:r>
          </w:p>
          <w:p>
            <w:pPr>
              <w:pStyle w:val="TextBody"/>
              <w:numPr>
                <w:ilvl w:val="0"/>
                <w:numId w:val="5"/>
              </w:numPr>
              <w:spacing w:lineRule="auto" w:line="240" w:before="0" w:after="0"/>
              <w:rPr>
                <w:b w:val="false"/>
                <w:b w:val="false"/>
                <w:bCs w:val="false"/>
                <w:sz w:val="22"/>
                <w:szCs w:val="22"/>
              </w:rPr>
            </w:pPr>
            <w:r>
              <w:rPr>
                <w:b w:val="false"/>
                <w:bCs w:val="false"/>
                <w:sz w:val="22"/>
                <w:szCs w:val="22"/>
              </w:rPr>
              <w:t>Support the ITU with invoicing and recharging for SEN and social care transport.</w:t>
            </w:r>
          </w:p>
          <w:p>
            <w:pPr>
              <w:pStyle w:val="TextBody"/>
              <w:numPr>
                <w:ilvl w:val="0"/>
                <w:numId w:val="5"/>
              </w:numPr>
              <w:spacing w:lineRule="auto" w:line="240" w:before="0" w:after="0"/>
              <w:rPr>
                <w:b w:val="false"/>
                <w:b w:val="false"/>
                <w:bCs w:val="false"/>
                <w:sz w:val="22"/>
                <w:szCs w:val="22"/>
              </w:rPr>
            </w:pPr>
            <w:r>
              <w:rPr>
                <w:b w:val="false"/>
                <w:bCs w:val="false"/>
                <w:sz w:val="22"/>
                <w:szCs w:val="22"/>
              </w:rPr>
              <w:t xml:space="preserve">Build effective relationships with operational teams, senior management, suppliers, and technology partners. </w:t>
            </w:r>
          </w:p>
          <w:p>
            <w:pPr>
              <w:pStyle w:val="TextBody"/>
              <w:numPr>
                <w:ilvl w:val="0"/>
                <w:numId w:val="5"/>
              </w:numPr>
              <w:spacing w:lineRule="auto" w:line="240" w:before="0" w:after="0"/>
              <w:rPr>
                <w:b w:val="false"/>
                <w:b w:val="false"/>
                <w:bCs w:val="false"/>
                <w:sz w:val="22"/>
                <w:szCs w:val="22"/>
              </w:rPr>
            </w:pPr>
            <w:r>
              <w:rPr>
                <w:b w:val="false"/>
                <w:bCs w:val="false"/>
                <w:sz w:val="22"/>
                <w:szCs w:val="22"/>
              </w:rPr>
              <w:t>Provide training, guidance, and support to system users.</w:t>
            </w:r>
          </w:p>
          <w:p>
            <w:pPr>
              <w:pStyle w:val="TextBody"/>
              <w:numPr>
                <w:ilvl w:val="0"/>
                <w:numId w:val="5"/>
              </w:numPr>
              <w:spacing w:lineRule="auto" w:line="240" w:before="0" w:after="0"/>
              <w:rPr>
                <w:b w:val="false"/>
                <w:b w:val="false"/>
                <w:bCs w:val="false"/>
                <w:sz w:val="22"/>
                <w:szCs w:val="22"/>
              </w:rPr>
            </w:pPr>
            <w:r>
              <w:rPr>
                <w:b w:val="false"/>
                <w:bCs w:val="false"/>
                <w:sz w:val="22"/>
                <w:szCs w:val="22"/>
              </w:rPr>
              <w:t>Communicate system changes, business improvements, and performance outcomes across the organisation.</w:t>
            </w:r>
          </w:p>
          <w:p>
            <w:pPr>
              <w:pStyle w:val="TextBody"/>
              <w:numPr>
                <w:ilvl w:val="0"/>
                <w:numId w:val="5"/>
              </w:numPr>
              <w:spacing w:lineRule="auto" w:line="240" w:before="0" w:after="0"/>
              <w:rPr>
                <w:b w:val="false"/>
                <w:b w:val="false"/>
                <w:bCs w:val="false"/>
                <w:sz w:val="22"/>
                <w:szCs w:val="22"/>
              </w:rPr>
            </w:pPr>
            <w:r>
              <w:rPr>
                <w:b w:val="false"/>
                <w:bCs w:val="false"/>
                <w:sz w:val="22"/>
                <w:szCs w:val="22"/>
              </w:rPr>
            </w:r>
          </w:p>
          <w:p>
            <w:pPr>
              <w:pStyle w:val="NoSpacing"/>
              <w:spacing w:lineRule="auto" w:line="240" w:before="0" w:after="0"/>
              <w:jc w:val="both"/>
              <w:rPr/>
            </w:pPr>
            <w:r>
              <w:rPr>
                <w:rFonts w:cs="Arial" w:ascii="Arial" w:hAnsi="Arial"/>
              </w:rPr>
              <w:t>The duties may vary from time to time without changing the nature of the post or the level of responsibility, and the post holder may also be required to carry out any other duties appropriate to the grading of the post.</w:t>
            </w:r>
            <w:r>
              <w:rPr>
                <w:rFonts w:cs="Arial" w:ascii="Arial" w:hAnsi="Arial"/>
                <w:sz w:val="20"/>
                <w:szCs w:val="20"/>
              </w:rPr>
              <w:t xml:space="preserve"> </w:t>
            </w:r>
          </w:p>
        </w:tc>
      </w:tr>
    </w:tbl>
    <w:p>
      <w:pPr>
        <w:pStyle w:val="Normal"/>
        <w:spacing w:lineRule="auto" w:line="276"/>
        <w:jc w:val="both"/>
        <w:rPr>
          <w:rFonts w:ascii="Arial" w:hAnsi="Arial" w:eastAsia="Calibri" w:cs="Arial"/>
          <w:b/>
          <w:b/>
        </w:rPr>
      </w:pPr>
      <w:r>
        <w:rPr>
          <w:rFonts w:eastAsia="Calibri" w:cs="Arial" w:ascii="Arial" w:hAnsi="Arial"/>
          <w:b/>
        </w:rPr>
      </w:r>
    </w:p>
    <w:p>
      <w:pPr>
        <w:pStyle w:val="Normal"/>
        <w:spacing w:lineRule="auto" w:line="276"/>
        <w:jc w:val="both"/>
        <w:rPr>
          <w:rFonts w:ascii="Arial" w:hAnsi="Arial" w:eastAsia="Calibri" w:cs="Arial"/>
          <w:b/>
          <w:b/>
        </w:rPr>
      </w:pPr>
      <w:r>
        <w:rPr>
          <w:rFonts w:eastAsia="Calibri" w:cs="Arial" w:ascii="Arial" w:hAnsi="Arial"/>
          <w:b/>
        </w:rPr>
      </w:r>
    </w:p>
    <w:tbl>
      <w:tblPr>
        <w:tblW w:w="9520" w:type="dxa"/>
        <w:jc w:val="left"/>
        <w:tblInd w:w="0" w:type="dxa"/>
        <w:tblCellMar>
          <w:top w:w="0" w:type="dxa"/>
          <w:left w:w="108" w:type="dxa"/>
          <w:bottom w:w="0" w:type="dxa"/>
          <w:right w:w="108" w:type="dxa"/>
        </w:tblCellMar>
      </w:tblPr>
      <w:tblGrid>
        <w:gridCol w:w="9520"/>
      </w:tblGrid>
      <w:tr>
        <w:trPr>
          <w:trHeight w:val="265" w:hRule="atLeast"/>
        </w:trPr>
        <w:tc>
          <w:tcPr>
            <w:tcW w:w="9520" w:type="dxa"/>
            <w:tcBorders>
              <w:top w:val="single" w:sz="18" w:space="0" w:color="70AD47"/>
              <w:left w:val="single" w:sz="18" w:space="0" w:color="70AD47"/>
              <w:bottom w:val="single" w:sz="18" w:space="0" w:color="70AD47"/>
              <w:right w:val="single" w:sz="18" w:space="0" w:color="70AD47"/>
            </w:tcBorders>
            <w:shd w:fill="C5E0B3" w:val="clear"/>
          </w:tcPr>
          <w:p>
            <w:pPr>
              <w:pStyle w:val="Normal"/>
              <w:spacing w:lineRule="auto" w:line="240" w:before="0" w:after="0"/>
              <w:rPr>
                <w:rFonts w:ascii="Arial" w:hAnsi="Arial" w:eastAsia="Calibri" w:cs="Arial"/>
                <w:b/>
                <w:b/>
              </w:rPr>
            </w:pPr>
            <w:r>
              <w:rPr>
                <w:rFonts w:eastAsia="Calibri" w:cs="Arial" w:ascii="Arial" w:hAnsi="Arial"/>
                <w:b/>
              </w:rPr>
              <w:t>About You</w:t>
            </w:r>
          </w:p>
        </w:tc>
      </w:tr>
      <w:tr>
        <w:trPr>
          <w:trHeight w:val="523" w:hRule="atLeast"/>
        </w:trPr>
        <w:tc>
          <w:tcPr>
            <w:tcW w:w="9520" w:type="dxa"/>
            <w:tcBorders>
              <w:top w:val="single" w:sz="18" w:space="0" w:color="70AD47"/>
              <w:left w:val="single" w:sz="18" w:space="0" w:color="70AD47"/>
              <w:bottom w:val="single" w:sz="18" w:space="0" w:color="70AD47"/>
              <w:right w:val="single" w:sz="18" w:space="0" w:color="70AD47"/>
            </w:tcBorders>
            <w:shd w:fill="auto" w:val="clear"/>
          </w:tcPr>
          <w:p>
            <w:pPr>
              <w:pStyle w:val="Normal"/>
              <w:spacing w:lineRule="auto" w:line="240" w:before="0" w:after="0"/>
              <w:rPr>
                <w:rFonts w:ascii="Arial" w:hAnsi="Arial" w:eastAsia="Calibri" w:cs="Arial"/>
                <w:b/>
                <w:b/>
              </w:rPr>
            </w:pPr>
            <w:r>
              <w:rPr>
                <w:rFonts w:eastAsia="Calibri" w:cs="Arial" w:ascii="Arial" w:hAnsi="Arial"/>
                <w:b/>
              </w:rPr>
              <w:t>Your essential qualifications</w:t>
            </w:r>
          </w:p>
          <w:p>
            <w:pPr>
              <w:pStyle w:val="Normal"/>
              <w:spacing w:lineRule="auto" w:line="240" w:before="0" w:after="0"/>
              <w:rPr>
                <w:rFonts w:ascii="Arial" w:hAnsi="Arial" w:eastAsia="Calibri" w:cs="Arial"/>
                <w:b/>
                <w:b/>
              </w:rPr>
            </w:pPr>
            <w:r>
              <w:rPr>
                <w:rFonts w:eastAsia="Calibri" w:cs="Arial" w:ascii="Arial" w:hAnsi="Arial"/>
                <w:b/>
              </w:rPr>
            </w:r>
          </w:p>
          <w:p>
            <w:pPr>
              <w:pStyle w:val="ListParagraph"/>
              <w:numPr>
                <w:ilvl w:val="0"/>
                <w:numId w:val="3"/>
              </w:numPr>
              <w:spacing w:lineRule="auto" w:line="240" w:before="0" w:after="0"/>
              <w:contextualSpacing/>
              <w:rPr>
                <w:rFonts w:eastAsia="Calibri"/>
                <w:bCs/>
              </w:rPr>
            </w:pPr>
            <w:r>
              <w:rPr>
                <w:rFonts w:eastAsia="Calibri"/>
                <w:bCs/>
              </w:rPr>
              <w:t xml:space="preserve">Proven experience in transport, logistics, fleet management, or supply chain operations. </w:t>
            </w:r>
          </w:p>
          <w:p>
            <w:pPr>
              <w:pStyle w:val="ListParagraph"/>
              <w:numPr>
                <w:ilvl w:val="0"/>
                <w:numId w:val="3"/>
              </w:numPr>
              <w:spacing w:lineRule="auto" w:line="240" w:before="0" w:after="0"/>
              <w:contextualSpacing/>
              <w:rPr>
                <w:rFonts w:eastAsia="Calibri"/>
                <w:bCs/>
              </w:rPr>
            </w:pPr>
            <w:r>
              <w:rPr>
                <w:rFonts w:eastAsia="Calibri"/>
                <w:bCs/>
              </w:rPr>
              <w:t xml:space="preserve">Experience managing Transport Management Systems and operational technologies. </w:t>
            </w:r>
          </w:p>
          <w:p>
            <w:pPr>
              <w:pStyle w:val="ListParagraph"/>
              <w:numPr>
                <w:ilvl w:val="0"/>
                <w:numId w:val="3"/>
              </w:numPr>
              <w:spacing w:lineRule="auto" w:line="240" w:before="0" w:after="0"/>
              <w:contextualSpacing/>
              <w:rPr>
                <w:rFonts w:eastAsia="Calibri"/>
                <w:bCs/>
              </w:rPr>
            </w:pPr>
            <w:r>
              <w:rPr>
                <w:rFonts w:eastAsia="Calibri"/>
                <w:bCs/>
              </w:rPr>
              <w:t xml:space="preserve">Strong analytical and data management skills. </w:t>
            </w:r>
          </w:p>
          <w:p>
            <w:pPr>
              <w:pStyle w:val="ListParagraph"/>
              <w:numPr>
                <w:ilvl w:val="0"/>
                <w:numId w:val="3"/>
              </w:numPr>
              <w:spacing w:lineRule="auto" w:line="240" w:before="0" w:after="0"/>
              <w:contextualSpacing/>
              <w:rPr>
                <w:rFonts w:eastAsia="Calibri"/>
                <w:bCs/>
              </w:rPr>
            </w:pPr>
            <w:r>
              <w:rPr>
                <w:rFonts w:eastAsia="Calibri"/>
                <w:bCs/>
              </w:rPr>
              <w:t xml:space="preserve">Experience developing performance reporting and dashboards. </w:t>
            </w:r>
          </w:p>
          <w:p>
            <w:pPr>
              <w:pStyle w:val="ListParagraph"/>
              <w:numPr>
                <w:ilvl w:val="0"/>
                <w:numId w:val="3"/>
              </w:numPr>
              <w:spacing w:lineRule="auto" w:line="240" w:before="0" w:after="0"/>
              <w:contextualSpacing/>
              <w:rPr>
                <w:rFonts w:eastAsia="Calibri"/>
                <w:bCs/>
              </w:rPr>
            </w:pPr>
            <w:r>
              <w:rPr>
                <w:rFonts w:eastAsia="Calibri"/>
                <w:bCs/>
              </w:rPr>
              <w:t xml:space="preserve">Project management and business improvement experience. </w:t>
            </w:r>
          </w:p>
          <w:p>
            <w:pPr>
              <w:pStyle w:val="ListParagraph"/>
              <w:numPr>
                <w:ilvl w:val="0"/>
                <w:numId w:val="3"/>
              </w:numPr>
              <w:spacing w:lineRule="auto" w:line="240" w:before="0" w:after="0"/>
              <w:contextualSpacing/>
              <w:rPr>
                <w:rFonts w:eastAsia="Calibri"/>
                <w:bCs/>
              </w:rPr>
            </w:pPr>
            <w:r>
              <w:rPr>
                <w:rFonts w:eastAsia="Calibri"/>
                <w:bCs/>
              </w:rPr>
              <w:t xml:space="preserve">Strong stakeholder management and communication skills. </w:t>
            </w:r>
          </w:p>
          <w:p>
            <w:pPr>
              <w:pStyle w:val="ListParagraph"/>
              <w:numPr>
                <w:ilvl w:val="0"/>
                <w:numId w:val="3"/>
              </w:numPr>
              <w:spacing w:lineRule="auto" w:line="240" w:before="0" w:after="0"/>
              <w:contextualSpacing/>
              <w:rPr>
                <w:rFonts w:eastAsia="Calibri"/>
                <w:bCs/>
              </w:rPr>
            </w:pPr>
            <w:r>
              <w:rPr>
                <w:rFonts w:eastAsia="Calibri"/>
                <w:bCs/>
              </w:rPr>
              <w:t xml:space="preserve">Advanced Microsoft Excel and reporting tools experience. </w:t>
            </w:r>
          </w:p>
          <w:p>
            <w:pPr>
              <w:pStyle w:val="ListParagraph"/>
              <w:numPr>
                <w:ilvl w:val="0"/>
                <w:numId w:val="3"/>
              </w:numPr>
              <w:spacing w:lineRule="auto" w:line="240" w:before="0" w:after="0"/>
              <w:contextualSpacing/>
              <w:rPr>
                <w:rFonts w:eastAsia="Calibri"/>
                <w:bCs/>
              </w:rPr>
            </w:pPr>
            <w:r>
              <w:rPr>
                <w:rFonts w:eastAsia="Calibri"/>
                <w:bCs/>
              </w:rPr>
              <w:t>Knowledge of transport compliance and regulatory requirement.</w:t>
            </w:r>
          </w:p>
          <w:p>
            <w:pPr>
              <w:pStyle w:val="ListParagraph"/>
              <w:numPr>
                <w:ilvl w:val="0"/>
                <w:numId w:val="3"/>
              </w:numPr>
              <w:spacing w:lineRule="auto" w:line="240" w:before="0" w:after="0"/>
              <w:contextualSpacing/>
              <w:rPr>
                <w:rFonts w:eastAsia="Calibri"/>
                <w:bCs/>
              </w:rPr>
            </w:pPr>
            <w:r>
              <w:rPr>
                <w:rFonts w:eastAsia="Calibri"/>
                <w:bCs/>
              </w:rPr>
              <w:t>Agresso trained.</w:t>
            </w:r>
          </w:p>
          <w:p>
            <w:pPr>
              <w:pStyle w:val="ListParagraph"/>
              <w:numPr>
                <w:ilvl w:val="0"/>
                <w:numId w:val="3"/>
              </w:numPr>
              <w:spacing w:lineRule="auto" w:line="240" w:before="0" w:after="0"/>
              <w:contextualSpacing/>
              <w:rPr>
                <w:rFonts w:eastAsia="Calibri"/>
                <w:bCs/>
              </w:rPr>
            </w:pPr>
            <w:r>
              <w:rPr>
                <w:rFonts w:eastAsia="Calibri"/>
                <w:bCs/>
              </w:rPr>
              <w:t>Minimum Level 5 NVQ departmental management or equivalent.</w:t>
            </w:r>
          </w:p>
          <w:p>
            <w:pPr>
              <w:pStyle w:val="ListParagraph"/>
              <w:numPr>
                <w:ilvl w:val="0"/>
                <w:numId w:val="3"/>
              </w:numPr>
              <w:spacing w:lineRule="auto" w:line="240" w:before="0" w:after="0"/>
              <w:contextualSpacing/>
              <w:rPr>
                <w:rFonts w:eastAsia="Calibri"/>
                <w:bCs/>
              </w:rPr>
            </w:pPr>
            <w:r>
              <w:rPr>
                <w:rFonts w:eastAsia="Calibri"/>
                <w:bCs/>
              </w:rPr>
              <w:t>Candidates must hold a minimum Grade C (Grade 4) in GCSE English and Mathematics, or an equivalent qualification.</w:t>
            </w:r>
          </w:p>
          <w:p>
            <w:pPr>
              <w:pStyle w:val="NoSpacing"/>
              <w:spacing w:lineRule="auto" w:line="240" w:before="0" w:after="0"/>
              <w:rPr>
                <w:rFonts w:ascii="Arial" w:hAnsi="Arial" w:cs="Arial"/>
                <w:b/>
                <w:b/>
                <w:sz w:val="20"/>
                <w:szCs w:val="20"/>
              </w:rPr>
            </w:pPr>
            <w:r>
              <w:rPr>
                <w:rFonts w:cs="Arial" w:ascii="Arial" w:hAnsi="Arial"/>
                <w:b/>
                <w:sz w:val="20"/>
                <w:szCs w:val="20"/>
              </w:rPr>
              <w:t>If you have the following experience or qualifications – then that’s great!</w:t>
            </w:r>
          </w:p>
          <w:p>
            <w:pPr>
              <w:pStyle w:val="Normal"/>
              <w:spacing w:lineRule="auto" w:line="240" w:before="0" w:after="0"/>
              <w:rPr>
                <w:rFonts w:ascii="Arial" w:hAnsi="Arial" w:eastAsia="Calibri" w:cs="Arial"/>
              </w:rPr>
            </w:pPr>
            <w:r>
              <w:rPr>
                <w:rFonts w:eastAsia="Calibri" w:cs="Arial" w:ascii="Arial" w:hAnsi="Arial"/>
              </w:rPr>
            </w:r>
          </w:p>
          <w:p>
            <w:pPr>
              <w:pStyle w:val="ListParagraph"/>
              <w:numPr>
                <w:ilvl w:val="0"/>
                <w:numId w:val="4"/>
              </w:numPr>
              <w:spacing w:lineRule="auto" w:line="240" w:before="0" w:after="0"/>
              <w:contextualSpacing/>
              <w:rPr/>
            </w:pPr>
            <w:r>
              <w:rPr/>
              <w:t xml:space="preserve">Knowledge of telematics and fleet optimisation technologies. </w:t>
            </w:r>
          </w:p>
          <w:p>
            <w:pPr>
              <w:pStyle w:val="ListParagraph"/>
              <w:numPr>
                <w:ilvl w:val="0"/>
                <w:numId w:val="4"/>
              </w:numPr>
              <w:spacing w:lineRule="auto" w:line="240" w:before="0" w:after="0"/>
              <w:contextualSpacing/>
              <w:rPr/>
            </w:pPr>
            <w:r>
              <w:rPr/>
              <w:t>Experience within a multi-site transport operation.</w:t>
            </w:r>
          </w:p>
          <w:p>
            <w:pPr>
              <w:pStyle w:val="ListParagraph"/>
              <w:numPr>
                <w:ilvl w:val="0"/>
                <w:numId w:val="4"/>
              </w:numPr>
              <w:spacing w:lineRule="auto" w:line="240" w:before="0" w:after="0"/>
              <w:contextualSpacing/>
              <w:rPr/>
            </w:pPr>
            <w:r>
              <w:rPr/>
              <w:t>TRANMAN/TRANSEND knowledge.</w:t>
            </w:r>
          </w:p>
          <w:p>
            <w:pPr>
              <w:pStyle w:val="ListParagraph"/>
              <w:numPr>
                <w:ilvl w:val="0"/>
                <w:numId w:val="4"/>
              </w:numPr>
              <w:spacing w:lineRule="auto" w:line="240" w:before="0" w:after="0"/>
              <w:ind w:left="1440" w:right="0" w:hanging="1080"/>
              <w:contextualSpacing/>
              <w:jc w:val="right"/>
              <w:rPr/>
            </w:pPr>
            <w:r>
              <w:rPr/>
            </w:r>
          </w:p>
        </w:tc>
      </w:tr>
    </w:tbl>
    <w:p>
      <w:pPr>
        <w:pStyle w:val="Normal"/>
        <w:tabs>
          <w:tab w:val="clear" w:pos="720"/>
          <w:tab w:val="center" w:pos="4513" w:leader="none"/>
        </w:tabs>
        <w:jc w:val="center"/>
        <w:rPr>
          <w:rFonts w:ascii="Arial" w:hAnsi="Arial" w:eastAsia="Calibri" w:cs="Arial"/>
          <w:b/>
          <w:b/>
          <w:sz w:val="22"/>
          <w:szCs w:val="22"/>
        </w:rPr>
      </w:pPr>
      <w:r>
        <w:rPr>
          <w:rFonts w:eastAsia="Calibri" w:cs="Arial" w:ascii="Arial" w:hAnsi="Arial"/>
          <w:b/>
          <w:sz w:val="22"/>
          <w:szCs w:val="22"/>
        </w:rPr>
      </w:r>
    </w:p>
    <w:p>
      <w:pPr>
        <w:pStyle w:val="Normal"/>
        <w:tabs>
          <w:tab w:val="clear" w:pos="720"/>
          <w:tab w:val="center" w:pos="4513" w:leader="none"/>
        </w:tabs>
        <w:jc w:val="center"/>
        <w:rPr>
          <w:rFonts w:ascii="Arial" w:hAnsi="Arial" w:eastAsia="Calibri" w:cs="Arial"/>
          <w:b/>
          <w:b/>
          <w:sz w:val="22"/>
          <w:szCs w:val="22"/>
        </w:rPr>
      </w:pPr>
      <w:r>
        <w:rPr>
          <w:rFonts w:eastAsia="Calibri" w:cs="Arial" w:ascii="Arial" w:hAnsi="Arial"/>
          <w:b/>
          <w:sz w:val="22"/>
          <w:szCs w:val="22"/>
        </w:rPr>
        <w:t>Our employees’ skills, experience and knowledge are essential to our success along with their happiness, commitment, enthusiasm and motivation to be the best they can be.</w:t>
      </w:r>
    </w:p>
    <w:p>
      <w:pPr>
        <w:pStyle w:val="Normal"/>
        <w:tabs>
          <w:tab w:val="clear" w:pos="720"/>
          <w:tab w:val="center" w:pos="4513" w:leader="none"/>
        </w:tabs>
        <w:jc w:val="center"/>
        <w:rPr>
          <w:rFonts w:ascii="Arial" w:hAnsi="Arial" w:eastAsia="Calibri" w:cs="Arial"/>
          <w:b/>
          <w:b/>
          <w:sz w:val="22"/>
          <w:szCs w:val="22"/>
        </w:rPr>
      </w:pPr>
      <w:r>
        <w:rPr>
          <w:rFonts w:eastAsia="Calibri" w:cs="Arial" w:ascii="Arial" w:hAnsi="Arial"/>
          <w:b/>
          <w:sz w:val="22"/>
          <w:szCs w:val="22"/>
        </w:rPr>
      </w:r>
    </w:p>
    <w:tbl>
      <w:tblPr>
        <w:tblW w:w="9616" w:type="dxa"/>
        <w:jc w:val="left"/>
        <w:tblInd w:w="0" w:type="dxa"/>
        <w:tblCellMar>
          <w:top w:w="0" w:type="dxa"/>
          <w:left w:w="108" w:type="dxa"/>
          <w:bottom w:w="0" w:type="dxa"/>
          <w:right w:w="108" w:type="dxa"/>
        </w:tblCellMar>
      </w:tblPr>
      <w:tblGrid>
        <w:gridCol w:w="9616"/>
      </w:tblGrid>
      <w:tr>
        <w:trPr/>
        <w:tc>
          <w:tcPr>
            <w:tcW w:w="9616" w:type="dxa"/>
            <w:tcBorders>
              <w:top w:val="single" w:sz="18" w:space="0" w:color="FF99FF"/>
              <w:left w:val="single" w:sz="18" w:space="0" w:color="FF99FF"/>
              <w:bottom w:val="single" w:sz="18" w:space="0" w:color="FF99FF"/>
              <w:right w:val="single" w:sz="18" w:space="0" w:color="FF99FF"/>
            </w:tcBorders>
            <w:shd w:fill="FFCCFF" w:val="clear"/>
          </w:tcPr>
          <w:p>
            <w:pPr>
              <w:pStyle w:val="Normal"/>
              <w:spacing w:lineRule="auto" w:line="240" w:before="0" w:after="280"/>
              <w:textAlignment w:val="top"/>
              <w:rPr>
                <w:rFonts w:ascii="Arial" w:hAnsi="Arial" w:cs="Arial"/>
                <w:b/>
                <w:b/>
                <w:bCs/>
                <w:sz w:val="22"/>
                <w:szCs w:val="22"/>
                <w:lang w:eastAsia="en-GB"/>
              </w:rPr>
            </w:pPr>
            <w:r>
              <w:rPr>
                <w:rFonts w:cs="Arial" w:ascii="Arial" w:hAnsi="Arial"/>
                <w:b/>
                <w:bCs/>
                <w:sz w:val="22"/>
                <w:szCs w:val="22"/>
                <w:lang w:eastAsia="en-GB"/>
              </w:rPr>
              <w:t>What can you expect from us?</w:t>
            </w:r>
          </w:p>
          <w:p>
            <w:pPr>
              <w:pStyle w:val="Normal"/>
              <w:numPr>
                <w:ilvl w:val="0"/>
                <w:numId w:val="2"/>
              </w:numPr>
              <w:spacing w:lineRule="auto" w:line="240" w:before="280" w:after="0"/>
              <w:textAlignment w:val="top"/>
              <w:rPr>
                <w:rFonts w:ascii="Arial" w:hAnsi="Arial" w:cs="Arial"/>
                <w:sz w:val="22"/>
                <w:szCs w:val="22"/>
                <w:lang w:eastAsia="en-GB"/>
              </w:rPr>
            </w:pPr>
            <w:r>
              <w:rPr>
                <w:rFonts w:cs="Arial" w:ascii="Arial" w:hAnsi="Arial"/>
                <w:sz w:val="22"/>
                <w:szCs w:val="22"/>
                <w:lang w:eastAsia="en-GB"/>
              </w:rPr>
              <w:t>A fair salary and benefits</w:t>
            </w:r>
          </w:p>
          <w:p>
            <w:pPr>
              <w:pStyle w:val="Normal"/>
              <w:numPr>
                <w:ilvl w:val="0"/>
                <w:numId w:val="2"/>
              </w:numPr>
              <w:spacing w:lineRule="auto" w:line="240" w:before="0" w:after="0"/>
              <w:textAlignment w:val="top"/>
              <w:rPr>
                <w:rFonts w:ascii="Arial" w:hAnsi="Arial" w:cs="Arial"/>
                <w:sz w:val="22"/>
                <w:szCs w:val="22"/>
                <w:lang w:eastAsia="en-GB"/>
              </w:rPr>
            </w:pPr>
            <w:r>
              <w:rPr>
                <w:rFonts w:cs="Arial" w:ascii="Arial" w:hAnsi="Arial"/>
                <w:sz w:val="22"/>
                <w:szCs w:val="22"/>
                <w:lang w:eastAsia="en-GB"/>
              </w:rPr>
              <w:t>Opportunities for good health and wellbeing</w:t>
            </w:r>
          </w:p>
          <w:p>
            <w:pPr>
              <w:pStyle w:val="Normal"/>
              <w:numPr>
                <w:ilvl w:val="0"/>
                <w:numId w:val="2"/>
              </w:numPr>
              <w:spacing w:lineRule="auto" w:line="240" w:before="0" w:after="0"/>
              <w:textAlignment w:val="top"/>
              <w:rPr>
                <w:rFonts w:ascii="Arial" w:hAnsi="Arial" w:cs="Arial"/>
                <w:sz w:val="22"/>
                <w:szCs w:val="22"/>
                <w:lang w:eastAsia="en-GB"/>
              </w:rPr>
            </w:pPr>
            <w:r>
              <w:rPr>
                <w:rFonts w:cs="Arial" w:ascii="Arial" w:hAnsi="Arial"/>
                <w:sz w:val="22"/>
                <w:szCs w:val="22"/>
                <w:lang w:eastAsia="en-GB"/>
              </w:rPr>
              <w:t>Help you to grow, develop and to do your best</w:t>
            </w:r>
          </w:p>
          <w:p>
            <w:pPr>
              <w:pStyle w:val="Normal"/>
              <w:numPr>
                <w:ilvl w:val="0"/>
                <w:numId w:val="2"/>
              </w:numPr>
              <w:spacing w:lineRule="auto" w:line="240" w:before="0" w:after="0"/>
              <w:textAlignment w:val="top"/>
              <w:rPr>
                <w:rFonts w:ascii="Arial" w:hAnsi="Arial" w:cs="Arial"/>
                <w:sz w:val="22"/>
                <w:szCs w:val="22"/>
                <w:lang w:eastAsia="en-GB"/>
              </w:rPr>
            </w:pPr>
            <w:r>
              <w:rPr>
                <w:rFonts w:cs="Arial" w:ascii="Arial" w:hAnsi="Arial"/>
                <w:sz w:val="22"/>
                <w:szCs w:val="22"/>
                <w:lang w:eastAsia="en-GB"/>
              </w:rPr>
              <w:t>Enable you to be creative and innovative</w:t>
            </w:r>
          </w:p>
          <w:p>
            <w:pPr>
              <w:pStyle w:val="Normal"/>
              <w:numPr>
                <w:ilvl w:val="0"/>
                <w:numId w:val="2"/>
              </w:numPr>
              <w:spacing w:lineRule="auto" w:line="240" w:before="0" w:after="0"/>
              <w:textAlignment w:val="top"/>
              <w:rPr>
                <w:rFonts w:ascii="Arial" w:hAnsi="Arial" w:cs="Arial"/>
                <w:sz w:val="22"/>
                <w:szCs w:val="22"/>
                <w:lang w:eastAsia="en-GB"/>
              </w:rPr>
            </w:pPr>
            <w:r>
              <w:rPr>
                <w:rFonts w:cs="Arial" w:ascii="Arial" w:hAnsi="Arial"/>
                <w:sz w:val="22"/>
                <w:szCs w:val="22"/>
                <w:lang w:eastAsia="en-GB"/>
              </w:rPr>
              <w:t>Fully involve you in changes that affect you and your work</w:t>
            </w:r>
          </w:p>
          <w:p>
            <w:pPr>
              <w:pStyle w:val="Normal"/>
              <w:numPr>
                <w:ilvl w:val="0"/>
                <w:numId w:val="2"/>
              </w:numPr>
              <w:spacing w:lineRule="auto" w:line="240" w:before="0" w:after="280"/>
              <w:textAlignment w:val="top"/>
              <w:rPr>
                <w:rFonts w:ascii="Arial" w:hAnsi="Arial" w:cs="Arial"/>
                <w:sz w:val="22"/>
                <w:szCs w:val="22"/>
                <w:lang w:eastAsia="en-GB"/>
              </w:rPr>
            </w:pPr>
            <w:r>
              <w:rPr>
                <w:rFonts w:cs="Arial" w:ascii="Arial" w:hAnsi="Arial"/>
                <w:sz w:val="22"/>
                <w:szCs w:val="22"/>
                <w:lang w:eastAsia="en-GB"/>
              </w:rPr>
              <w:t>Listen, and act on your ideas and feedback</w:t>
            </w:r>
          </w:p>
          <w:p>
            <w:pPr>
              <w:pStyle w:val="Normal"/>
              <w:spacing w:lineRule="auto" w:line="240" w:before="280" w:after="0"/>
              <w:jc w:val="center"/>
              <w:textAlignment w:val="top"/>
              <w:rPr>
                <w:rFonts w:ascii="Arial" w:hAnsi="Arial" w:cs="Arial"/>
                <w:b/>
                <w:b/>
                <w:sz w:val="22"/>
                <w:szCs w:val="22"/>
                <w:lang w:eastAsia="en-GB"/>
              </w:rPr>
            </w:pPr>
            <w:r>
              <w:rPr>
                <w:rFonts w:cs="Arial" w:ascii="Arial" w:hAnsi="Arial"/>
                <w:b/>
                <w:sz w:val="22"/>
                <w:szCs w:val="22"/>
                <w:lang w:eastAsia="en-GB"/>
              </w:rPr>
              <w:t>Working together, we are proud to work for Tameside</w:t>
            </w:r>
          </w:p>
        </w:tc>
      </w:tr>
    </w:tbl>
    <w:p>
      <w:pPr>
        <w:pStyle w:val="Normal"/>
        <w:tabs>
          <w:tab w:val="clear" w:pos="720"/>
          <w:tab w:val="center" w:pos="4513" w:leader="none"/>
        </w:tabs>
        <w:jc w:val="center"/>
        <w:rPr>
          <w:rFonts w:ascii="Arial" w:hAnsi="Arial" w:eastAsia="Calibri" w:cs="Arial"/>
          <w:b/>
          <w:b/>
          <w:sz w:val="22"/>
          <w:szCs w:val="22"/>
        </w:rPr>
      </w:pPr>
      <w:r>
        <w:rPr>
          <w:rFonts w:eastAsia="Calibri" w:cs="Arial" w:ascii="Arial" w:hAnsi="Arial"/>
          <w:b/>
          <w:sz w:val="22"/>
          <w:szCs w:val="22"/>
        </w:rPr>
      </w:r>
    </w:p>
    <w:p>
      <w:pPr>
        <w:pStyle w:val="Normal"/>
        <w:spacing w:lineRule="auto" w:line="276" w:before="0" w:after="120"/>
        <w:jc w:val="both"/>
        <w:rPr/>
      </w:pPr>
      <w:r>
        <w:rPr>
          <w:rFonts w:eastAsia="Calibri" w:cs="Arial" w:ascii="Arial" w:hAnsi="Arial"/>
          <w:sz w:val="22"/>
          <w:szCs w:val="22"/>
        </w:rPr>
        <w:t xml:space="preserve">Our </w:t>
      </w:r>
      <w:r>
        <w:rPr>
          <w:rFonts w:eastAsia="Calibri" w:cs="Arial" w:ascii="Arial" w:hAnsi="Arial"/>
          <w:b/>
          <w:color w:val="0070C0"/>
          <w:sz w:val="22"/>
          <w:szCs w:val="22"/>
        </w:rPr>
        <w:t>S</w:t>
      </w:r>
      <w:r>
        <w:rPr>
          <w:rFonts w:eastAsia="Calibri" w:cs="Arial" w:ascii="Arial" w:hAnsi="Arial"/>
          <w:b/>
          <w:color w:val="FF3399"/>
          <w:sz w:val="22"/>
          <w:szCs w:val="22"/>
        </w:rPr>
        <w:t>T</w:t>
      </w:r>
      <w:r>
        <w:rPr>
          <w:rFonts w:eastAsia="Calibri" w:cs="Arial" w:ascii="Arial" w:hAnsi="Arial"/>
          <w:b/>
          <w:color w:val="00B0F0"/>
          <w:sz w:val="22"/>
          <w:szCs w:val="22"/>
        </w:rPr>
        <w:t>R</w:t>
      </w:r>
      <w:r>
        <w:rPr>
          <w:rFonts w:eastAsia="Calibri" w:cs="Arial" w:ascii="Arial" w:hAnsi="Arial"/>
          <w:b/>
          <w:color w:val="92D050"/>
          <w:sz w:val="22"/>
          <w:szCs w:val="22"/>
        </w:rPr>
        <w:t>I</w:t>
      </w:r>
      <w:r>
        <w:rPr>
          <w:rFonts w:eastAsia="Calibri" w:cs="Arial" w:ascii="Arial" w:hAnsi="Arial"/>
          <w:b/>
          <w:color w:val="FFD966"/>
          <w:sz w:val="22"/>
          <w:szCs w:val="22"/>
        </w:rPr>
        <w:t>V</w:t>
      </w:r>
      <w:r>
        <w:rPr>
          <w:rFonts w:eastAsia="Calibri" w:cs="Arial" w:ascii="Arial" w:hAnsi="Arial"/>
          <w:b/>
          <w:color w:val="FFC000"/>
          <w:sz w:val="22"/>
          <w:szCs w:val="22"/>
        </w:rPr>
        <w:t>E</w:t>
      </w:r>
      <w:r>
        <w:rPr>
          <w:rFonts w:eastAsia="Calibri" w:cs="Arial" w:ascii="Arial" w:hAnsi="Arial"/>
          <w:sz w:val="22"/>
          <w:szCs w:val="22"/>
        </w:rPr>
        <w:t xml:space="preserve"> values underpin our practice and behaviours and are at the heart of everything that we do:</w:t>
      </w:r>
    </w:p>
    <w:p>
      <w:pPr>
        <w:pStyle w:val="Normal"/>
        <w:spacing w:lineRule="auto" w:line="276" w:before="0" w:after="120"/>
        <w:jc w:val="both"/>
        <w:rPr/>
      </w:pPr>
      <w:r>
        <w:rPr/>
        <w:drawing>
          <wp:inline distT="0" distB="0" distL="0" distR="0">
            <wp:extent cx="6107430" cy="5740400"/>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2" t="-2" r="-2" b="-2"/>
                    <a:stretch>
                      <a:fillRect/>
                    </a:stretch>
                  </pic:blipFill>
                  <pic:spPr bwMode="auto">
                    <a:xfrm>
                      <a:off x="0" y="0"/>
                      <a:ext cx="6107430" cy="5740400"/>
                    </a:xfrm>
                    <a:prstGeom prst="rect">
                      <a:avLst/>
                    </a:prstGeom>
                  </pic:spPr>
                </pic:pic>
              </a:graphicData>
            </a:graphic>
          </wp:inline>
        </w:drawing>
      </w:r>
    </w:p>
    <w:sectPr>
      <w:headerReference w:type="default" r:id="rId3"/>
      <w:footerReference w:type="default" r:id="rId4"/>
      <w:type w:val="nextPage"/>
      <w:pgSz w:w="11906" w:h="16838"/>
      <w:pgMar w:left="1440" w:right="849" w:header="708" w:top="1701" w:footer="708" w:bottom="1440"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ourier New">
    <w:charset w:val="01"/>
    <w:family w:val="modern"/>
    <w:pitch w:val="default"/>
  </w:font>
  <w:font w:name="Wingdings">
    <w:charset w:val="02"/>
    <w:family w:val="auto"/>
    <w:pitch w:val="variable"/>
  </w:font>
  <w:font w:name="Tahoma">
    <w:charset w:val="00"/>
    <w:family w:val="roman"/>
    <w:pitch w:val="variable"/>
  </w:font>
  <w:font w:name="Segoe UI">
    <w:charset w:val="00"/>
    <w:family w:val="roman"/>
    <w:pitch w:val="variable"/>
  </w:font>
  <w:font w:name="Liberation Sans">
    <w:altName w:val="Arial"/>
    <w:charset w:val="00"/>
    <w:family w:val="swiss"/>
    <w:pitch w:val="variable"/>
  </w:font>
  <w:font w:name="Calibri">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right"/>
      <w:rPr>
        <w:rFonts w:ascii="Arial" w:hAnsi="Arial" w:cs="Arial"/>
        <w:sz w:val="22"/>
        <w:szCs w:val="22"/>
      </w:rPr>
    </w:pPr>
    <w:r>
      <w:rPr>
        <w:rFonts w:cs="Arial" w:ascii="Arial" w:hAnsi="Arial"/>
        <w:sz w:val="22"/>
        <w:szCs w:val="22"/>
      </w:rPr>
      <w:fldChar w:fldCharType="begin"/>
    </w:r>
    <w:r>
      <w:rPr>
        <w:sz w:val="22"/>
        <w:szCs w:val="22"/>
        <w:rFonts w:cs="Arial" w:ascii="Arial" w:hAnsi="Arial"/>
      </w:rPr>
      <w:instrText> PAGE </w:instrText>
    </w:r>
    <w:r>
      <w:rPr>
        <w:sz w:val="22"/>
        <w:szCs w:val="22"/>
        <w:rFonts w:cs="Arial" w:ascii="Arial" w:hAnsi="Arial"/>
      </w:rPr>
      <w:fldChar w:fldCharType="separate"/>
    </w:r>
    <w:r>
      <w:rPr>
        <w:sz w:val="22"/>
        <w:szCs w:val="22"/>
        <w:rFonts w:cs="Arial" w:ascii="Arial" w:hAnsi="Arial"/>
      </w:rPr>
      <w:t>3</w:t>
    </w:r>
    <w:r>
      <w:rPr>
        <w:sz w:val="22"/>
        <w:szCs w:val="22"/>
        <w:rFonts w:cs="Arial" w:ascii="Arial" w:hAnsi="Arial"/>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W w:w="9606" w:type="dxa"/>
      <w:jc w:val="left"/>
      <w:tblInd w:w="0" w:type="dxa"/>
      <w:tblCellMar>
        <w:top w:w="0" w:type="dxa"/>
        <w:left w:w="108" w:type="dxa"/>
        <w:bottom w:w="0" w:type="dxa"/>
        <w:right w:w="108" w:type="dxa"/>
      </w:tblCellMar>
    </w:tblPr>
    <w:tblGrid>
      <w:gridCol w:w="4803"/>
      <w:gridCol w:w="4803"/>
    </w:tblGrid>
    <w:tr>
      <w:trPr/>
      <w:tc>
        <w:tcPr>
          <w:tcW w:w="4803" w:type="dxa"/>
          <w:tcBorders/>
          <w:shd w:fill="auto" w:val="clear"/>
        </w:tcPr>
        <w:p>
          <w:pPr>
            <w:pStyle w:val="Header"/>
            <w:spacing w:lineRule="auto" w:line="240" w:before="0" w:after="0"/>
            <w:rPr/>
          </w:pPr>
          <w:r>
            <w:rPr/>
            <w:drawing>
              <wp:inline distT="0" distB="0" distL="0" distR="0">
                <wp:extent cx="2141220" cy="549275"/>
                <wp:effectExtent l="0" t="0" r="0" b="0"/>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1"/>
                        <a:srcRect l="-7" t="-34" r="-7" b="-34"/>
                        <a:stretch>
                          <a:fillRect/>
                        </a:stretch>
                      </pic:blipFill>
                      <pic:spPr bwMode="auto">
                        <a:xfrm>
                          <a:off x="0" y="0"/>
                          <a:ext cx="2141220" cy="549275"/>
                        </a:xfrm>
                        <a:prstGeom prst="rect">
                          <a:avLst/>
                        </a:prstGeom>
                      </pic:spPr>
                    </pic:pic>
                  </a:graphicData>
                </a:graphic>
              </wp:inline>
            </w:drawing>
          </w:r>
        </w:p>
      </w:tc>
      <w:tc>
        <w:tcPr>
          <w:tcW w:w="4803" w:type="dxa"/>
          <w:tcBorders/>
          <w:shd w:fill="auto" w:val="clear"/>
        </w:tcPr>
        <w:p>
          <w:pPr>
            <w:pStyle w:val="Header"/>
            <w:spacing w:lineRule="auto" w:line="240" w:before="0" w:after="0"/>
            <w:jc w:val="right"/>
            <w:rPr/>
          </w:pPr>
          <w:r>
            <w:rPr/>
            <w:drawing>
              <wp:inline distT="0" distB="0" distL="0" distR="0">
                <wp:extent cx="2294255" cy="625475"/>
                <wp:effectExtent l="0" t="0" r="0" b="0"/>
                <wp:docPr id="3"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pic:cNvPicPr>
                          <a:picLocks noChangeAspect="1" noChangeArrowheads="1"/>
                        </pic:cNvPicPr>
                      </pic:nvPicPr>
                      <pic:blipFill>
                        <a:blip r:embed="rId2"/>
                        <a:srcRect l="-13" t="-37" r="-13" b="-37"/>
                        <a:stretch>
                          <a:fillRect/>
                        </a:stretch>
                      </pic:blipFill>
                      <pic:spPr bwMode="auto">
                        <a:xfrm>
                          <a:off x="0" y="0"/>
                          <a:ext cx="2294255" cy="625475"/>
                        </a:xfrm>
                        <a:prstGeom prst="rect">
                          <a:avLst/>
                        </a:prstGeom>
                      </pic:spPr>
                    </pic:pic>
                  </a:graphicData>
                </a:graphic>
              </wp:inline>
            </w:drawing>
          </w:r>
        </w:p>
      </w:tc>
    </w:tr>
  </w:tbl>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pStyle w:val="Heading6"/>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bullet"/>
      <w:lvlText w:val=""/>
      <w:lvlJc w:val="left"/>
      <w:pPr>
        <w:tabs>
          <w:tab w:val="num" w:pos="720"/>
        </w:tabs>
        <w:ind w:left="720" w:hanging="360"/>
      </w:pPr>
      <w:rPr>
        <w:rFonts w:ascii="Symbol" w:hAnsi="Symbol" w:cs="Symbol" w:hint="default"/>
        <w:sz w:val="22"/>
        <w:rFonts w:cs="Symbol"/>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3">
    <w:lvl w:ilvl="0">
      <w:start w:val="1"/>
      <w:numFmt w:val="bullet"/>
      <w:lvlText w:val=""/>
      <w:lvlJc w:val="left"/>
      <w:pPr>
        <w:ind w:left="780" w:hanging="360"/>
      </w:pPr>
      <w:rPr>
        <w:rFonts w:ascii="Symbol" w:hAnsi="Symbol" w:cs="Symbol" w:hint="default"/>
        <w:rFonts w:cs="Symbol"/>
      </w:rPr>
    </w:lvl>
    <w:lvl w:ilvl="1">
      <w:start w:val="1"/>
      <w:numFmt w:val="bullet"/>
      <w:lvlText w:val="o"/>
      <w:lvlJc w:val="left"/>
      <w:pPr>
        <w:ind w:left="1500" w:hanging="360"/>
      </w:pPr>
      <w:rPr>
        <w:rFonts w:ascii="Courier New" w:hAnsi="Courier New" w:cs="Courier New" w:hint="default"/>
        <w:rFonts w:cs="Courier New"/>
      </w:rPr>
    </w:lvl>
    <w:lvl w:ilvl="2">
      <w:start w:val="1"/>
      <w:numFmt w:val="bullet"/>
      <w:lvlText w:val=""/>
      <w:lvlJc w:val="left"/>
      <w:pPr>
        <w:ind w:left="2220" w:hanging="360"/>
      </w:pPr>
      <w:rPr>
        <w:rFonts w:ascii="Wingdings" w:hAnsi="Wingdings" w:cs="Wingdings" w:hint="default"/>
        <w:rFonts w:cs="Wingdings"/>
      </w:rPr>
    </w:lvl>
    <w:lvl w:ilvl="3">
      <w:start w:val="1"/>
      <w:numFmt w:val="bullet"/>
      <w:lvlText w:val=""/>
      <w:lvlJc w:val="left"/>
      <w:pPr>
        <w:ind w:left="2940" w:hanging="360"/>
      </w:pPr>
      <w:rPr>
        <w:rFonts w:ascii="Symbol" w:hAnsi="Symbol" w:cs="Symbol" w:hint="default"/>
        <w:rFonts w:cs="Symbol"/>
      </w:rPr>
    </w:lvl>
    <w:lvl w:ilvl="4">
      <w:start w:val="1"/>
      <w:numFmt w:val="bullet"/>
      <w:lvlText w:val="o"/>
      <w:lvlJc w:val="left"/>
      <w:pPr>
        <w:ind w:left="3660" w:hanging="360"/>
      </w:pPr>
      <w:rPr>
        <w:rFonts w:ascii="Courier New" w:hAnsi="Courier New" w:cs="Courier New" w:hint="default"/>
        <w:rFonts w:cs="Courier New"/>
      </w:rPr>
    </w:lvl>
    <w:lvl w:ilvl="5">
      <w:start w:val="1"/>
      <w:numFmt w:val="bullet"/>
      <w:lvlText w:val=""/>
      <w:lvlJc w:val="left"/>
      <w:pPr>
        <w:ind w:left="4380" w:hanging="360"/>
      </w:pPr>
      <w:rPr>
        <w:rFonts w:ascii="Wingdings" w:hAnsi="Wingdings" w:cs="Wingdings" w:hint="default"/>
        <w:rFonts w:cs="Wingdings"/>
      </w:rPr>
    </w:lvl>
    <w:lvl w:ilvl="6">
      <w:start w:val="1"/>
      <w:numFmt w:val="bullet"/>
      <w:lvlText w:val=""/>
      <w:lvlJc w:val="left"/>
      <w:pPr>
        <w:ind w:left="5100" w:hanging="360"/>
      </w:pPr>
      <w:rPr>
        <w:rFonts w:ascii="Symbol" w:hAnsi="Symbol" w:cs="Symbol" w:hint="default"/>
        <w:rFonts w:cs="Symbol"/>
      </w:rPr>
    </w:lvl>
    <w:lvl w:ilvl="7">
      <w:start w:val="1"/>
      <w:numFmt w:val="bullet"/>
      <w:lvlText w:val="o"/>
      <w:lvlJc w:val="left"/>
      <w:pPr>
        <w:ind w:left="5820" w:hanging="360"/>
      </w:pPr>
      <w:rPr>
        <w:rFonts w:ascii="Courier New" w:hAnsi="Courier New" w:cs="Courier New" w:hint="default"/>
        <w:rFonts w:cs="Courier New"/>
      </w:rPr>
    </w:lvl>
    <w:lvl w:ilvl="8">
      <w:start w:val="1"/>
      <w:numFmt w:val="bullet"/>
      <w:lvlText w:val=""/>
      <w:lvlJc w:val="left"/>
      <w:pPr>
        <w:ind w:left="6540" w:hanging="360"/>
      </w:pPr>
      <w:rPr>
        <w:rFonts w:ascii="Wingdings" w:hAnsi="Wingdings" w:cs="Wingdings" w:hint="default"/>
        <w:rFonts w:cs="Wingdings"/>
      </w:rPr>
    </w:lvl>
  </w:abstractNum>
  <w:abstractNum w:abstractNumId="4">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5">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40" w:before="0" w:after="0"/>
      <w:jc w:val="left"/>
    </w:pPr>
    <w:rPr>
      <w:rFonts w:ascii="Times New Roman" w:hAnsi="Times New Roman" w:eastAsia="Times New Roman" w:cs="Times New Roman"/>
      <w:color w:val="auto"/>
      <w:kern w:val="0"/>
      <w:sz w:val="20"/>
      <w:szCs w:val="20"/>
      <w:lang w:val="en-GB" w:eastAsia="en-US" w:bidi="ar-SA"/>
    </w:rPr>
  </w:style>
  <w:style w:type="paragraph" w:styleId="Heading6">
    <w:name w:val="Heading 6"/>
    <w:basedOn w:val="Normal"/>
    <w:next w:val="Normal"/>
    <w:qFormat/>
    <w:pPr>
      <w:numPr>
        <w:ilvl w:val="5"/>
        <w:numId w:val="1"/>
      </w:numPr>
      <w:spacing w:before="240" w:after="60"/>
      <w:outlineLvl w:val="5"/>
    </w:pPr>
    <w:rPr>
      <w:b/>
      <w:bCs/>
      <w:sz w:val="22"/>
      <w:szCs w:val="22"/>
    </w:rPr>
  </w:style>
  <w:style w:type="character" w:styleId="WW8Num1z0">
    <w:name w:val="WW8Num1z0"/>
    <w:qFormat/>
    <w:rPr>
      <w:rFonts w:ascii="Symbol" w:hAnsi="Symbol" w:cs="Symbol"/>
      <w:sz w:val="22"/>
    </w:rPr>
  </w:style>
  <w:style w:type="character" w:styleId="WW8Num1z1">
    <w:name w:val="WW8Num1z1"/>
    <w:qFormat/>
    <w:rPr>
      <w:rFonts w:ascii="Courier New" w:hAnsi="Courier New" w:cs="Courier New"/>
      <w:sz w:val="20"/>
    </w:rPr>
  </w:style>
  <w:style w:type="character" w:styleId="WW8Num1z2">
    <w:name w:val="WW8Num1z2"/>
    <w:qFormat/>
    <w:rPr>
      <w:rFonts w:ascii="Wingdings" w:hAnsi="Wingdings" w:cs="Wingdings"/>
      <w:sz w:val="20"/>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3z0">
    <w:name w:val="WW8Num3z0"/>
    <w:qFormat/>
    <w:rPr>
      <w:rFonts w:ascii="Symbol" w:hAnsi="Symbol" w:cs="Symbol"/>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4z0">
    <w:name w:val="WW8Num4z0"/>
    <w:qFormat/>
    <w:rPr>
      <w:rFonts w:ascii="Symbol" w:hAnsi="Symbol" w:cs="Symbol"/>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5z0">
    <w:name w:val="WW8Num5z0"/>
    <w:qFormat/>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DefaultParagraphFont">
    <w:name w:val="Default Paragraph Font"/>
    <w:qFormat/>
    <w:rPr/>
  </w:style>
  <w:style w:type="character" w:styleId="FooterChar">
    <w:name w:val="Footer Char"/>
    <w:basedOn w:val="DefaultParagraphFont"/>
    <w:qFormat/>
    <w:rPr>
      <w:rFonts w:ascii="Times New Roman" w:hAnsi="Times New Roman" w:eastAsia="Times New Roman" w:cs="Times New Roman"/>
      <w:sz w:val="20"/>
      <w:szCs w:val="20"/>
    </w:rPr>
  </w:style>
  <w:style w:type="character" w:styleId="InternetLink">
    <w:name w:val="Internet Link"/>
    <w:rPr>
      <w:color w:val="0000FF"/>
      <w:u w:val="single"/>
    </w:rPr>
  </w:style>
  <w:style w:type="character" w:styleId="TitleChar">
    <w:name w:val="Title Char"/>
    <w:basedOn w:val="DefaultParagraphFont"/>
    <w:qFormat/>
    <w:rPr>
      <w:rFonts w:ascii="Tahoma" w:hAnsi="Tahoma" w:eastAsia="Times New Roman" w:cs="Times New Roman"/>
      <w:b/>
      <w:bCs/>
      <w:szCs w:val="24"/>
      <w:u w:val="single"/>
    </w:rPr>
  </w:style>
  <w:style w:type="character" w:styleId="Heading6Char">
    <w:name w:val="Heading 6 Char"/>
    <w:basedOn w:val="DefaultParagraphFont"/>
    <w:qFormat/>
    <w:rPr>
      <w:rFonts w:ascii="Times New Roman" w:hAnsi="Times New Roman" w:eastAsia="Times New Roman" w:cs="Times New Roman"/>
      <w:b/>
      <w:bCs/>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rFonts w:ascii="Times New Roman" w:hAnsi="Times New Roman" w:eastAsia="Times New Roman" w:cs="Times New Roman"/>
      <w:sz w:val="20"/>
      <w:szCs w:val="20"/>
    </w:rPr>
  </w:style>
  <w:style w:type="character" w:styleId="CommentSubjectChar">
    <w:name w:val="Comment Subject Char"/>
    <w:basedOn w:val="CommentTextChar"/>
    <w:qFormat/>
    <w:rPr>
      <w:rFonts w:ascii="Times New Roman" w:hAnsi="Times New Roman" w:eastAsia="Times New Roman" w:cs="Times New Roman"/>
      <w:b/>
      <w:bCs/>
      <w:sz w:val="20"/>
      <w:szCs w:val="20"/>
    </w:rPr>
  </w:style>
  <w:style w:type="character" w:styleId="BalloonTextChar">
    <w:name w:val="Balloon Text Char"/>
    <w:basedOn w:val="DefaultParagraphFont"/>
    <w:qFormat/>
    <w:rPr>
      <w:rFonts w:ascii="Segoe UI" w:hAnsi="Segoe UI" w:eastAsia="Times New Roman" w:cs="Segoe UI"/>
      <w:sz w:val="18"/>
      <w:szCs w:val="18"/>
    </w:rPr>
  </w:style>
  <w:style w:type="character" w:styleId="BodyTextChar">
    <w:name w:val="Body Text Char"/>
    <w:basedOn w:val="DefaultParagraphFont"/>
    <w:qFormat/>
    <w:rPr>
      <w:rFonts w:ascii="Arial" w:hAnsi="Arial" w:eastAsia="Times New Roman" w:cs="Times New Roman"/>
      <w:b/>
      <w:bCs/>
      <w:sz w:val="24"/>
      <w:szCs w:val="24"/>
    </w:rPr>
  </w:style>
  <w:style w:type="character" w:styleId="HeaderChar">
    <w:name w:val="Header Char"/>
    <w:basedOn w:val="DefaultParagraphFont"/>
    <w:qFormat/>
    <w:rPr>
      <w:rFonts w:ascii="Times New Roman" w:hAnsi="Times New Roman" w:eastAsia="Times New Roman" w:cs="Times New Roman"/>
      <w:sz w:val="20"/>
      <w:szCs w:val="20"/>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rPr>
      <w:rFonts w:ascii="Arial" w:hAnsi="Arial" w:cs="Arial"/>
      <w:b/>
      <w:bCs/>
      <w:sz w:val="24"/>
      <w:szCs w:val="24"/>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HeaderandFooter">
    <w:name w:val="Header and Footer"/>
    <w:basedOn w:val="Normal"/>
    <w:qFormat/>
    <w:pPr/>
    <w:rPr/>
  </w:style>
  <w:style w:type="paragraph" w:styleId="Footer">
    <w:name w:val="Footer"/>
    <w:basedOn w:val="Normal"/>
    <w:pPr>
      <w:tabs>
        <w:tab w:val="clear" w:pos="720"/>
        <w:tab w:val="center" w:pos="4153" w:leader="none"/>
        <w:tab w:val="right" w:pos="8306" w:leader="none"/>
      </w:tabs>
    </w:pPr>
    <w:rPr/>
  </w:style>
  <w:style w:type="paragraph" w:styleId="ListParagraph">
    <w:name w:val="List Paragraph"/>
    <w:basedOn w:val="Normal"/>
    <w:qFormat/>
    <w:pPr>
      <w:spacing w:lineRule="auto" w:line="276" w:before="0" w:after="200"/>
      <w:ind w:left="720" w:right="0" w:hanging="0"/>
      <w:contextualSpacing/>
    </w:pPr>
    <w:rPr>
      <w:rFonts w:ascii="Arial" w:hAnsi="Arial" w:eastAsia="Calibri" w:cs="Arial"/>
      <w:sz w:val="22"/>
      <w:szCs w:val="22"/>
    </w:rPr>
  </w:style>
  <w:style w:type="paragraph" w:styleId="NoSpacing">
    <w:name w:val="No Spacing"/>
    <w:qFormat/>
    <w:pPr>
      <w:widowControl/>
      <w:suppressAutoHyphens w:val="true"/>
      <w:bidi w:val="0"/>
      <w:spacing w:lineRule="auto" w:line="240" w:before="0" w:after="0"/>
      <w:jc w:val="left"/>
    </w:pPr>
    <w:rPr>
      <w:rFonts w:ascii="Calibri" w:hAnsi="Calibri" w:eastAsia="Calibri" w:cs=""/>
      <w:color w:val="auto"/>
      <w:kern w:val="0"/>
      <w:sz w:val="20"/>
      <w:szCs w:val="22"/>
      <w:lang w:val="en-GB" w:eastAsia="en-US" w:bidi="ar-SA"/>
    </w:rPr>
  </w:style>
  <w:style w:type="paragraph" w:styleId="Title">
    <w:name w:val="Title"/>
    <w:basedOn w:val="Normal"/>
    <w:next w:val="TextBody"/>
    <w:qFormat/>
    <w:pPr>
      <w:jc w:val="center"/>
    </w:pPr>
    <w:rPr>
      <w:rFonts w:ascii="Tahoma" w:hAnsi="Tahoma" w:cs="Tahoma"/>
      <w:b/>
      <w:bCs/>
      <w:sz w:val="22"/>
      <w:szCs w:val="24"/>
      <w:u w:val="single"/>
    </w:rPr>
  </w:style>
  <w:style w:type="paragraph" w:styleId="Annotationtext">
    <w:name w:val="annotation text"/>
    <w:basedOn w:val="Normal"/>
    <w:qFormat/>
    <w:pPr/>
    <w:rPr/>
  </w:style>
  <w:style w:type="paragraph" w:styleId="Annotationsubject">
    <w:name w:val="annotation subject"/>
    <w:basedOn w:val="Annotationtext"/>
    <w:next w:val="Annotationtext"/>
    <w:qFormat/>
    <w:pPr/>
    <w:rPr>
      <w:b/>
      <w:bCs/>
    </w:rPr>
  </w:style>
  <w:style w:type="paragraph" w:styleId="BalloonText">
    <w:name w:val="Balloon Text"/>
    <w:basedOn w:val="Normal"/>
    <w:qFormat/>
    <w:pPr/>
    <w:rPr>
      <w:rFonts w:ascii="Segoe UI" w:hAnsi="Segoe UI" w:cs="Segoe UI"/>
      <w:sz w:val="18"/>
      <w:szCs w:val="18"/>
    </w:rPr>
  </w:style>
  <w:style w:type="paragraph" w:styleId="Default">
    <w:name w:val="Default"/>
    <w:qFormat/>
    <w:pPr>
      <w:widowControl/>
      <w:suppressAutoHyphens w:val="true"/>
      <w:bidi w:val="0"/>
      <w:spacing w:lineRule="auto" w:line="240" w:before="0" w:after="0"/>
      <w:jc w:val="left"/>
    </w:pPr>
    <w:rPr>
      <w:rFonts w:ascii="Arial" w:hAnsi="Arial" w:eastAsia="Calibri" w:cs="Arial"/>
      <w:color w:val="000000"/>
      <w:kern w:val="0"/>
      <w:sz w:val="24"/>
      <w:szCs w:val="24"/>
      <w:lang w:val="en-GB" w:eastAsia="en-US" w:bidi="ar-SA"/>
    </w:rPr>
  </w:style>
  <w:style w:type="paragraph" w:styleId="Header">
    <w:name w:val="Header"/>
    <w:basedOn w:val="Normal"/>
    <w:pPr>
      <w:tabs>
        <w:tab w:val="clear" w:pos="720"/>
        <w:tab w:val="center" w:pos="4513" w:leader="none"/>
        <w:tab w:val="right" w:pos="9026" w:leader="none"/>
      </w:tabs>
    </w:pPr>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
</Relationships>
</file>

<file path=word/_rels/header1.xml.rels><?xml version="1.0" encoding="UTF-8"?>
<Relationships xmlns="http://schemas.openxmlformats.org/package/2006/relationships"><Relationship Id="rId1" Type="http://schemas.openxmlformats.org/officeDocument/2006/relationships/image" Target="media/image2.jpeg"/><Relationship Id="rId2" Type="http://schemas.openxmlformats.org/officeDocument/2006/relationships/image" Target="media/image3.jpeg"/>
</Relationships>
</file>

<file path=docProps/app.xml><?xml version="1.0" encoding="utf-8"?>
<Properties xmlns="http://schemas.openxmlformats.org/officeDocument/2006/extended-properties" xmlns:vt="http://schemas.openxmlformats.org/officeDocument/2006/docPropsVTypes">
  <Template>Normal</Template>
  <TotalTime>20</TotalTime>
  <Application>LibreOffice/6.3.4.2$Windows_X86_64 LibreOffice_project/60da17e045e08f1793c57c00ba83cdfce946d0aa</Application>
  <Company>TMBC</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2026-07-20T09:23:00Z</dcterms:created>
  <dc:creator>Bernadette Wilde</dc:creator>
  <dc:description/>
  <dc:language>en-US</dc:language>
  <cp:lastModifiedBy>Steve Lloyd</cp:lastModifiedBy>
  <cp:lastPrinted>1995-11-21T17:41:00Z</cp:lastPrinted>
  <dcterms:modified xsi:type="dcterms:W3CDTF">2026-07-20T09:49:00Z</dcterms:modified>
  <cp:revision>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TMBC</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