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Leisure &amp; Physical Activity</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UH02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Public Health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L</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Director of Public Health</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296"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jc w:val="both"/>
              <w:rPr>
                <w:rFonts w:ascii="Arial" w:hAnsi="Arial" w:cs="Arial"/>
                <w:sz w:val="22"/>
                <w:szCs w:val="22"/>
              </w:rPr>
            </w:pPr>
            <w:r>
              <w:rPr>
                <w:rFonts w:cs="Arial" w:ascii="Arial" w:hAnsi="Arial"/>
                <w:sz w:val="22"/>
                <w:szCs w:val="22"/>
              </w:rPr>
              <w:t>The Head of Leisure &amp; Physical Activity will provide strategic leadership, coordination, and oversight of Tameside’s leisure, physical activity, and wellbeing agenda. The role works closely with the Director of Public Health, leisure operators, NHS partners, and community organisations to deliver a coherent, impactful approach that increases participation, reduces health inequalities, and supports improved wellbeing across the borough.</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4"/>
              </w:numPr>
              <w:spacing w:lineRule="auto" w:line="240" w:before="0" w:after="0"/>
              <w:rPr>
                <w:rFonts w:cs="Arial"/>
                <w:b w:val="false"/>
                <w:b w:val="false"/>
                <w:sz w:val="22"/>
                <w:szCs w:val="22"/>
              </w:rPr>
            </w:pPr>
            <w:r>
              <w:rPr>
                <w:rFonts w:cs="Arial"/>
                <w:b w:val="false"/>
                <w:sz w:val="22"/>
                <w:szCs w:val="22"/>
              </w:rPr>
              <w:t>Lead the development and implementation of the Tameside Leisure &amp; Wellbeing Strategic Framework.</w:t>
            </w:r>
          </w:p>
          <w:p>
            <w:pPr>
              <w:pStyle w:val="TextBody"/>
              <w:numPr>
                <w:ilvl w:val="0"/>
                <w:numId w:val="4"/>
              </w:numPr>
              <w:spacing w:lineRule="auto" w:line="240" w:before="0" w:after="0"/>
              <w:rPr>
                <w:rFonts w:cs="Arial"/>
                <w:b w:val="false"/>
                <w:b w:val="false"/>
                <w:sz w:val="22"/>
                <w:szCs w:val="22"/>
              </w:rPr>
            </w:pPr>
            <w:r>
              <w:rPr>
                <w:rFonts w:cs="Arial"/>
                <w:b w:val="false"/>
                <w:sz w:val="22"/>
                <w:szCs w:val="22"/>
              </w:rPr>
              <w:t>Support oversight of the council’s contracts for public leisure and wellbeing services across the borough.</w:t>
            </w:r>
          </w:p>
          <w:p>
            <w:pPr>
              <w:pStyle w:val="TextBody"/>
              <w:numPr>
                <w:ilvl w:val="0"/>
                <w:numId w:val="4"/>
              </w:numPr>
              <w:spacing w:lineRule="auto" w:line="240" w:before="0" w:after="0"/>
              <w:rPr>
                <w:rFonts w:cs="Arial"/>
                <w:b w:val="false"/>
                <w:b w:val="false"/>
                <w:sz w:val="22"/>
                <w:szCs w:val="22"/>
              </w:rPr>
            </w:pPr>
            <w:r>
              <w:rPr>
                <w:rFonts w:cs="Arial"/>
                <w:b w:val="false"/>
                <w:sz w:val="22"/>
                <w:szCs w:val="22"/>
              </w:rPr>
              <w:t>Client lead working effectively with the provider of the public leisure &amp; wellbeing offer within Tameside to support system leadership and enable them to lead on this agenda.</w:t>
            </w:r>
          </w:p>
          <w:p>
            <w:pPr>
              <w:pStyle w:val="TextBody"/>
              <w:numPr>
                <w:ilvl w:val="0"/>
                <w:numId w:val="4"/>
              </w:numPr>
              <w:spacing w:lineRule="auto" w:line="240" w:before="0" w:after="0"/>
              <w:rPr/>
            </w:pPr>
            <w:r>
              <w:rPr>
                <w:rFonts w:cs="Arial"/>
                <w:b w:val="false"/>
                <w:sz w:val="22"/>
                <w:szCs w:val="22"/>
              </w:rPr>
              <w:t>Use data, insight, and community engagement to shape priorities and inform decision</w:t>
            </w:r>
            <w:r>
              <w:rPr>
                <w:rFonts w:cs="Cambria Math" w:ascii="Cambria Math" w:hAnsi="Cambria Math"/>
                <w:b w:val="false"/>
                <w:sz w:val="22"/>
                <w:szCs w:val="22"/>
              </w:rPr>
              <w:noBreakHyphen/>
            </w:r>
            <w:r>
              <w:rPr>
                <w:rFonts w:cs="Arial"/>
                <w:b w:val="false"/>
                <w:sz w:val="22"/>
                <w:szCs w:val="22"/>
              </w:rPr>
              <w:t>making.</w:t>
            </w:r>
          </w:p>
          <w:p>
            <w:pPr>
              <w:pStyle w:val="TextBody"/>
              <w:numPr>
                <w:ilvl w:val="0"/>
                <w:numId w:val="4"/>
              </w:numPr>
              <w:spacing w:lineRule="auto" w:line="240" w:before="0" w:after="0"/>
              <w:rPr>
                <w:rFonts w:cs="Arial"/>
                <w:b w:val="false"/>
                <w:b w:val="false"/>
                <w:sz w:val="22"/>
                <w:szCs w:val="22"/>
              </w:rPr>
            </w:pPr>
            <w:r>
              <w:rPr>
                <w:rFonts w:cs="Arial"/>
                <w:b w:val="false"/>
                <w:sz w:val="22"/>
                <w:szCs w:val="22"/>
              </w:rPr>
              <w:t>Translate strategic priorities into a strong narrative in Tameside around the impact of leisure and physical activity, along with clear delivery plans with measurable outcomes.</w:t>
            </w:r>
          </w:p>
          <w:p>
            <w:pPr>
              <w:pStyle w:val="TextBody"/>
              <w:numPr>
                <w:ilvl w:val="0"/>
                <w:numId w:val="4"/>
              </w:numPr>
              <w:spacing w:lineRule="auto" w:line="240" w:before="0" w:after="0"/>
              <w:rPr>
                <w:rFonts w:cs="Arial"/>
                <w:b w:val="false"/>
                <w:b w:val="false"/>
                <w:sz w:val="22"/>
                <w:szCs w:val="22"/>
              </w:rPr>
            </w:pPr>
            <w:r>
              <w:rPr>
                <w:rFonts w:cs="Arial"/>
                <w:b w:val="false"/>
                <w:sz w:val="22"/>
                <w:szCs w:val="22"/>
              </w:rPr>
              <w:t>Ensure alignment of all activity relating to leisure and physical activity provision and programmes in Tameside with health equity, prevention, and population health objectives.</w:t>
            </w:r>
          </w:p>
          <w:p>
            <w:pPr>
              <w:pStyle w:val="TextBody"/>
              <w:numPr>
                <w:ilvl w:val="0"/>
                <w:numId w:val="4"/>
              </w:numPr>
              <w:spacing w:lineRule="auto" w:line="240" w:before="0" w:after="0"/>
              <w:rPr>
                <w:rFonts w:cs="Arial"/>
                <w:b w:val="false"/>
                <w:b w:val="false"/>
                <w:sz w:val="22"/>
                <w:szCs w:val="22"/>
              </w:rPr>
            </w:pPr>
            <w:r>
              <w:rPr>
                <w:rFonts w:cs="Arial"/>
                <w:b w:val="false"/>
                <w:sz w:val="22"/>
                <w:szCs w:val="22"/>
              </w:rPr>
              <w:t>Build strong partnerships with leisure operators, community organisations, GM Moving, NHS partners, Transport for Greater Manchester, the Office for Health Improvement &amp; Disparities (OHID), central government agencies such as Active Travel England, and internal council services.</w:t>
            </w:r>
          </w:p>
          <w:p>
            <w:pPr>
              <w:pStyle w:val="TextBody"/>
              <w:numPr>
                <w:ilvl w:val="0"/>
                <w:numId w:val="4"/>
              </w:numPr>
              <w:spacing w:lineRule="auto" w:line="240" w:before="0" w:after="0"/>
              <w:rPr/>
            </w:pPr>
            <w:r>
              <w:rPr>
                <w:rFonts w:cs="Arial"/>
                <w:b w:val="false"/>
                <w:sz w:val="22"/>
                <w:szCs w:val="22"/>
              </w:rPr>
              <w:t>Support and lead coordinated system</w:t>
            </w:r>
            <w:r>
              <w:rPr>
                <w:rFonts w:cs="Cambria Math" w:ascii="Cambria Math" w:hAnsi="Cambria Math"/>
                <w:b w:val="false"/>
                <w:sz w:val="22"/>
                <w:szCs w:val="22"/>
              </w:rPr>
              <w:noBreakHyphen/>
            </w:r>
            <w:r>
              <w:rPr>
                <w:rFonts w:cs="Arial"/>
                <w:b w:val="false"/>
                <w:sz w:val="22"/>
                <w:szCs w:val="22"/>
              </w:rPr>
              <w:t>wide action across Tameside’s physical activity and wellbeing system.</w:t>
            </w:r>
          </w:p>
          <w:p>
            <w:pPr>
              <w:pStyle w:val="TextBody"/>
              <w:numPr>
                <w:ilvl w:val="0"/>
                <w:numId w:val="4"/>
              </w:numPr>
              <w:spacing w:lineRule="auto" w:line="240" w:before="0" w:after="0"/>
              <w:rPr/>
            </w:pPr>
            <w:r>
              <w:rPr>
                <w:rFonts w:cs="Arial"/>
                <w:b w:val="false"/>
                <w:sz w:val="22"/>
                <w:szCs w:val="22"/>
              </w:rPr>
              <w:t>Represent Public Health at borough</w:t>
            </w:r>
            <w:r>
              <w:rPr>
                <w:rFonts w:cs="Cambria Math" w:ascii="Cambria Math" w:hAnsi="Cambria Math"/>
                <w:b w:val="false"/>
                <w:sz w:val="22"/>
                <w:szCs w:val="22"/>
              </w:rPr>
              <w:noBreakHyphen/>
            </w:r>
            <w:r>
              <w:rPr>
                <w:rFonts w:cs="Arial"/>
                <w:b w:val="false"/>
                <w:sz w:val="22"/>
                <w:szCs w:val="22"/>
              </w:rPr>
              <w:t>wide and GM groups relating to leisure, physical activity, active travel, and wellbeing.</w:t>
            </w:r>
          </w:p>
          <w:p>
            <w:pPr>
              <w:pStyle w:val="TextBody"/>
              <w:numPr>
                <w:ilvl w:val="0"/>
                <w:numId w:val="4"/>
              </w:numPr>
              <w:spacing w:lineRule="auto" w:line="240" w:before="0" w:after="0"/>
              <w:rPr>
                <w:rFonts w:cs="Arial"/>
                <w:b w:val="false"/>
                <w:b w:val="false"/>
                <w:sz w:val="22"/>
                <w:szCs w:val="22"/>
              </w:rPr>
            </w:pPr>
            <w:r>
              <w:rPr>
                <w:rFonts w:cs="Arial"/>
                <w:b w:val="false"/>
                <w:sz w:val="22"/>
                <w:szCs w:val="22"/>
              </w:rPr>
              <w:t>Ensure high performance of the leisure service by supporting the provider in designing their approach and monitoring KPIs, quality standards, outcomes, and financial sustainability of services.</w:t>
            </w:r>
          </w:p>
          <w:p>
            <w:pPr>
              <w:pStyle w:val="TextBody"/>
              <w:numPr>
                <w:ilvl w:val="0"/>
                <w:numId w:val="4"/>
              </w:numPr>
              <w:spacing w:lineRule="auto" w:line="240" w:before="0" w:after="0"/>
              <w:rPr>
                <w:rFonts w:cs="Arial"/>
                <w:b w:val="false"/>
                <w:b w:val="false"/>
                <w:sz w:val="22"/>
                <w:szCs w:val="22"/>
              </w:rPr>
            </w:pPr>
            <w:r>
              <w:rPr>
                <w:rFonts w:cs="Arial"/>
                <w:b w:val="false"/>
                <w:sz w:val="22"/>
                <w:szCs w:val="22"/>
              </w:rPr>
              <w:t>Support a culture of continuous improvement, particularly addressing any areas of underperformance in the leisure service and wider physical activity agenda.</w:t>
            </w:r>
          </w:p>
          <w:p>
            <w:pPr>
              <w:pStyle w:val="TextBody"/>
              <w:numPr>
                <w:ilvl w:val="0"/>
                <w:numId w:val="4"/>
              </w:numPr>
              <w:spacing w:lineRule="auto" w:line="240" w:before="0" w:after="0"/>
              <w:rPr>
                <w:rFonts w:cs="Arial"/>
                <w:b w:val="false"/>
                <w:b w:val="false"/>
                <w:sz w:val="22"/>
                <w:szCs w:val="22"/>
              </w:rPr>
            </w:pPr>
            <w:r>
              <w:rPr>
                <w:rFonts w:cs="Arial"/>
                <w:b w:val="false"/>
                <w:sz w:val="22"/>
                <w:szCs w:val="22"/>
              </w:rPr>
              <w:t>Ensure all services are inclusive, accessible, and equitable for Tameside’s communities.</w:t>
            </w:r>
          </w:p>
          <w:p>
            <w:pPr>
              <w:pStyle w:val="TextBody"/>
              <w:numPr>
                <w:ilvl w:val="0"/>
                <w:numId w:val="4"/>
              </w:numPr>
              <w:spacing w:lineRule="auto" w:line="240" w:before="0" w:after="0"/>
              <w:rPr>
                <w:rFonts w:cs="Arial"/>
                <w:b w:val="false"/>
                <w:b w:val="false"/>
                <w:sz w:val="22"/>
                <w:szCs w:val="22"/>
              </w:rPr>
            </w:pPr>
            <w:r>
              <w:rPr>
                <w:rFonts w:cs="Arial"/>
                <w:b w:val="false"/>
                <w:sz w:val="22"/>
                <w:szCs w:val="22"/>
              </w:rPr>
              <w:t>Develop targeted wellbeing and physical activity initiatives for diverse populations, in conjunction with service providers and wider partners.</w:t>
            </w:r>
          </w:p>
          <w:p>
            <w:pPr>
              <w:pStyle w:val="TextBody"/>
              <w:numPr>
                <w:ilvl w:val="0"/>
                <w:numId w:val="4"/>
              </w:numPr>
              <w:spacing w:lineRule="auto" w:line="240" w:before="0" w:after="0"/>
              <w:rPr/>
            </w:pPr>
            <w:r>
              <w:rPr>
                <w:rFonts w:cs="Arial"/>
                <w:b w:val="false"/>
                <w:sz w:val="22"/>
                <w:szCs w:val="22"/>
              </w:rPr>
              <w:t>Facilitate co</w:t>
            </w:r>
            <w:r>
              <w:rPr>
                <w:rFonts w:cs="Cambria Math" w:ascii="Cambria Math" w:hAnsi="Cambria Math"/>
                <w:b w:val="false"/>
                <w:sz w:val="22"/>
                <w:szCs w:val="22"/>
              </w:rPr>
              <w:noBreakHyphen/>
            </w:r>
            <w:r>
              <w:rPr>
                <w:rFonts w:cs="Arial"/>
                <w:b w:val="false"/>
                <w:sz w:val="22"/>
                <w:szCs w:val="22"/>
              </w:rPr>
              <w:t>design processes with communities and service users.</w:t>
            </w:r>
          </w:p>
          <w:p>
            <w:pPr>
              <w:pStyle w:val="TextBody"/>
              <w:numPr>
                <w:ilvl w:val="0"/>
                <w:numId w:val="4"/>
              </w:numPr>
              <w:spacing w:lineRule="auto" w:line="240" w:before="0" w:after="0"/>
              <w:rPr/>
            </w:pPr>
            <w:r>
              <w:rPr>
                <w:rFonts w:cs="Arial"/>
                <w:b w:val="false"/>
                <w:sz w:val="22"/>
                <w:szCs w:val="22"/>
              </w:rPr>
              <w:t>Embed evaluation, learning, and evidence</w:t>
            </w:r>
            <w:r>
              <w:rPr>
                <w:rFonts w:cs="Cambria Math" w:ascii="Cambria Math" w:hAnsi="Cambria Math"/>
                <w:b w:val="false"/>
                <w:sz w:val="22"/>
                <w:szCs w:val="22"/>
              </w:rPr>
              <w:noBreakHyphen/>
            </w:r>
            <w:r>
              <w:rPr>
                <w:rFonts w:cs="Arial"/>
                <w:b w:val="false"/>
                <w:sz w:val="22"/>
                <w:szCs w:val="22"/>
              </w:rPr>
              <w:t>based improvement into all programmes and initiatives.</w:t>
            </w:r>
          </w:p>
          <w:p>
            <w:pPr>
              <w:pStyle w:val="TextBody"/>
              <w:numPr>
                <w:ilvl w:val="0"/>
                <w:numId w:val="4"/>
              </w:numPr>
              <w:spacing w:lineRule="auto" w:line="240" w:before="0" w:after="0"/>
              <w:rPr>
                <w:rFonts w:cs="Arial"/>
                <w:b w:val="false"/>
                <w:b w:val="false"/>
                <w:sz w:val="22"/>
                <w:szCs w:val="22"/>
              </w:rPr>
            </w:pPr>
            <w:r>
              <w:rPr>
                <w:rFonts w:cs="Arial"/>
                <w:b w:val="false"/>
                <w:sz w:val="22"/>
                <w:szCs w:val="22"/>
              </w:rPr>
              <w:t>Champion innovation in active lifestyles, active travel, and preventative health approaches.</w:t>
            </w:r>
          </w:p>
          <w:p>
            <w:pPr>
              <w:pStyle w:val="TextBody"/>
              <w:numPr>
                <w:ilvl w:val="0"/>
                <w:numId w:val="4"/>
              </w:numPr>
              <w:spacing w:lineRule="auto" w:line="240" w:before="0" w:after="0"/>
              <w:rPr>
                <w:rFonts w:cs="Arial"/>
                <w:b w:val="false"/>
                <w:b w:val="false"/>
                <w:sz w:val="22"/>
                <w:szCs w:val="22"/>
              </w:rPr>
            </w:pPr>
            <w:r>
              <w:rPr>
                <w:rFonts w:cs="Arial"/>
                <w:b w:val="false"/>
                <w:sz w:val="22"/>
                <w:szCs w:val="22"/>
              </w:rPr>
              <w:t>Provide clear reports, insights, dashboards, and recommendations to senior leadership and governance groups including key forums such as the Public Health Senior Team, Corporate Leadership Team, Executive Cabinet, Lead Executive Member, Health &amp; Wellbeing Board.</w:t>
            </w:r>
          </w:p>
          <w:p>
            <w:pPr>
              <w:pStyle w:val="TextBody"/>
              <w:numPr>
                <w:ilvl w:val="0"/>
                <w:numId w:val="4"/>
              </w:numPr>
              <w:spacing w:lineRule="auto" w:line="240" w:before="0" w:after="0"/>
              <w:rPr>
                <w:rFonts w:cs="Arial"/>
                <w:b w:val="false"/>
                <w:b w:val="false"/>
                <w:sz w:val="22"/>
                <w:szCs w:val="22"/>
              </w:rPr>
            </w:pPr>
            <w:r>
              <w:rPr>
                <w:rFonts w:cs="Arial"/>
                <w:b w:val="false"/>
                <w:sz w:val="22"/>
                <w:szCs w:val="22"/>
              </w:rPr>
              <w:t>Identify, manage, and escalate risks, issues, and dependencies across partnership activity.</w:t>
            </w:r>
          </w:p>
          <w:p>
            <w:pPr>
              <w:pStyle w:val="TextBody"/>
              <w:numPr>
                <w:ilvl w:val="0"/>
                <w:numId w:val="4"/>
              </w:numPr>
              <w:spacing w:lineRule="auto" w:line="240" w:before="0" w:after="0"/>
              <w:rPr>
                <w:rFonts w:cs="Arial"/>
                <w:b w:val="false"/>
                <w:b w:val="false"/>
                <w:sz w:val="22"/>
                <w:szCs w:val="22"/>
              </w:rPr>
            </w:pPr>
            <w:r>
              <w:rPr>
                <w:rFonts w:cs="Arial"/>
                <w:b w:val="false"/>
                <w:sz w:val="22"/>
                <w:szCs w:val="22"/>
              </w:rPr>
              <w:t>Contribute to financial planning, budget oversight, and resource allocation.</w:t>
            </w:r>
          </w:p>
          <w:p>
            <w:pPr>
              <w:pStyle w:val="TextBody"/>
              <w:numPr>
                <w:ilvl w:val="0"/>
                <w:numId w:val="4"/>
              </w:numPr>
              <w:spacing w:lineRule="auto" w:line="240" w:before="0" w:after="0"/>
              <w:rPr>
                <w:rFonts w:cs="Arial"/>
                <w:b w:val="false"/>
                <w:b w:val="false"/>
                <w:sz w:val="22"/>
                <w:szCs w:val="22"/>
              </w:rPr>
            </w:pPr>
            <w:r>
              <w:rPr>
                <w:rFonts w:cs="Arial"/>
                <w:b w:val="false"/>
                <w:sz w:val="22"/>
                <w:szCs w:val="22"/>
              </w:rPr>
              <w:t>Ensure robust governance arrangements across all partnership and commissioning activity.</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pPr>
            <w:r>
              <w:rPr/>
              <w:t>Degree-level (level 7 equivalent) qualification in a subject area such as Health &amp; Social Care, Public Health, Leisure or Management.</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contextualSpacing/>
              <w:rPr>
                <w:rFonts w:ascii="Arial" w:hAnsi="Arial" w:cs="Arial"/>
                <w:bCs/>
              </w:rPr>
            </w:pPr>
            <w:r>
              <w:rPr>
                <w:rFonts w:cs="Arial" w:ascii="Arial" w:hAnsi="Arial"/>
                <w:bCs/>
              </w:rPr>
              <w:t>Strategic or senior operational experience in leisure, physical activity, public health, or wellbeing.</w:t>
            </w:r>
          </w:p>
          <w:p>
            <w:pPr>
              <w:pStyle w:val="ListParagraph"/>
              <w:numPr>
                <w:ilvl w:val="0"/>
                <w:numId w:val="3"/>
              </w:numPr>
              <w:spacing w:lineRule="auto" w:line="240" w:before="0" w:after="0"/>
              <w:contextualSpacing/>
              <w:rPr/>
            </w:pPr>
            <w:r>
              <w:rPr/>
              <w:t>Evidence of continuous professional, managerial and personal development</w:t>
            </w:r>
          </w:p>
          <w:p>
            <w:pPr>
              <w:pStyle w:val="ListParagraph"/>
              <w:numPr>
                <w:ilvl w:val="0"/>
                <w:numId w:val="3"/>
              </w:numPr>
              <w:spacing w:lineRule="auto" w:line="240" w:before="0" w:after="0"/>
              <w:ind w:left="714" w:right="0" w:hanging="357"/>
              <w:contextualSpacing/>
              <w:rPr>
                <w:bCs/>
              </w:rPr>
            </w:pPr>
            <w:r>
              <w:rPr>
                <w:bCs/>
              </w:rPr>
              <w:t>Experience managing or supporting commissioned leisure services.</w:t>
            </w:r>
          </w:p>
          <w:p>
            <w:pPr>
              <w:pStyle w:val="NoSpacing"/>
              <w:numPr>
                <w:ilvl w:val="0"/>
                <w:numId w:val="3"/>
              </w:numPr>
              <w:spacing w:lineRule="auto" w:line="240" w:before="0" w:after="0"/>
              <w:ind w:left="714" w:right="0" w:hanging="357"/>
              <w:contextualSpacing/>
              <w:rPr>
                <w:rFonts w:ascii="Arial" w:hAnsi="Arial" w:cs="Arial"/>
                <w:bCs/>
              </w:rPr>
            </w:pPr>
            <w:r>
              <w:rPr>
                <w:rFonts w:cs="Arial" w:ascii="Arial" w:hAnsi="Arial"/>
                <w:bCs/>
              </w:rPr>
              <w:t>Understanding of public health priorities and health inequalities.</w:t>
            </w:r>
          </w:p>
          <w:p>
            <w:pPr>
              <w:pStyle w:val="ListParagraph"/>
              <w:numPr>
                <w:ilvl w:val="0"/>
                <w:numId w:val="3"/>
              </w:numPr>
              <w:spacing w:lineRule="auto" w:line="240" w:before="0" w:after="0"/>
              <w:ind w:left="714" w:right="0" w:hanging="357"/>
              <w:contextualSpacing/>
              <w:rPr/>
            </w:pPr>
            <w:r>
              <w:rPr/>
              <w:t>Evidence of strategic partnership working and building cross-sector partnerships</w:t>
            </w:r>
          </w:p>
          <w:p>
            <w:pPr>
              <w:pStyle w:val="ListParagraph"/>
              <w:numPr>
                <w:ilvl w:val="0"/>
                <w:numId w:val="3"/>
              </w:numPr>
              <w:spacing w:lineRule="auto" w:line="240" w:before="0" w:after="0"/>
              <w:ind w:left="714" w:right="0" w:hanging="357"/>
              <w:contextualSpacing/>
              <w:rPr/>
            </w:pPr>
            <w:r>
              <w:rPr>
                <w:bCs/>
              </w:rPr>
              <w:t xml:space="preserve">Evidence of </w:t>
            </w:r>
            <w:r>
              <w:rPr/>
              <w:t>project leadership roles which have been health or leisure related.</w:t>
            </w:r>
          </w:p>
          <w:p>
            <w:pPr>
              <w:pStyle w:val="NoSpacing"/>
              <w:numPr>
                <w:ilvl w:val="0"/>
                <w:numId w:val="3"/>
              </w:numPr>
              <w:spacing w:lineRule="auto" w:line="240" w:before="0" w:after="0"/>
              <w:ind w:left="714" w:right="0" w:hanging="357"/>
              <w:contextualSpacing/>
              <w:rPr>
                <w:rFonts w:ascii="Arial" w:hAnsi="Arial" w:cs="Arial"/>
                <w:bCs/>
              </w:rPr>
            </w:pPr>
            <w:r>
              <w:rPr>
                <w:rFonts w:cs="Arial" w:ascii="Arial" w:hAnsi="Arial"/>
                <w:bCs/>
              </w:rPr>
              <w:t>Knowledge of inclusive service design and engagement.</w:t>
            </w:r>
          </w:p>
          <w:p>
            <w:pPr>
              <w:pStyle w:val="ListParagraph"/>
              <w:numPr>
                <w:ilvl w:val="0"/>
                <w:numId w:val="3"/>
              </w:numPr>
              <w:spacing w:lineRule="auto" w:line="240" w:before="0" w:after="0"/>
              <w:contextualSpacing/>
              <w:rPr/>
            </w:pPr>
            <w:r>
              <w:rPr/>
              <w:t>Experience of leading on the robust management of budgets and associated governance to provide transparency and control.</w:t>
            </w:r>
          </w:p>
          <w:p>
            <w:pPr>
              <w:pStyle w:val="ListParagraph"/>
              <w:numPr>
                <w:ilvl w:val="0"/>
                <w:numId w:val="3"/>
              </w:numPr>
              <w:spacing w:lineRule="auto" w:line="240" w:before="0" w:after="0"/>
              <w:contextualSpacing/>
              <w:rPr/>
            </w:pPr>
            <w:r>
              <w:rPr/>
              <w:t>Excellent written and verbal communication skills which ensure that complex messages are delivered in an understandable and straightforward way, including presenting strategic reports and presentations</w:t>
            </w:r>
          </w:p>
          <w:p>
            <w:pPr>
              <w:pStyle w:val="ListParagraph"/>
              <w:numPr>
                <w:ilvl w:val="0"/>
                <w:numId w:val="3"/>
              </w:numPr>
              <w:spacing w:lineRule="auto" w:line="240" w:before="0" w:after="0"/>
              <w:contextualSpacing/>
              <w:rPr/>
            </w:pPr>
            <w:r>
              <w:rPr/>
              <w:t>Proven skill in building alliances, relationships, negotiation skills and leading through change across a range of agendas.</w:t>
            </w:r>
          </w:p>
          <w:p>
            <w:pPr>
              <w:pStyle w:val="ListParagraph"/>
              <w:numPr>
                <w:ilvl w:val="0"/>
                <w:numId w:val="3"/>
              </w:numPr>
              <w:spacing w:lineRule="auto" w:line="240" w:before="0" w:after="0"/>
              <w:contextualSpacing/>
              <w:rPr/>
            </w:pPr>
            <w:r>
              <w:rPr/>
              <w:t xml:space="preserve">Ability to analyse complex statistical information and consider the strategic and operational implications. </w:t>
            </w:r>
          </w:p>
          <w:p>
            <w:pPr>
              <w:pStyle w:val="ListParagraph"/>
              <w:numPr>
                <w:ilvl w:val="0"/>
                <w:numId w:val="3"/>
              </w:numPr>
              <w:spacing w:lineRule="auto" w:line="240" w:before="0" w:after="0"/>
              <w:contextualSpacing/>
              <w:rPr/>
            </w:pPr>
            <w:r>
              <w:rPr/>
              <w:t>Able to organise and prioritise a complex set of tasks and ensure deadline delivery.</w:t>
            </w:r>
          </w:p>
          <w:p>
            <w:pPr>
              <w:pStyle w:val="ListParagraph"/>
              <w:numPr>
                <w:ilvl w:val="0"/>
                <w:numId w:val="3"/>
              </w:numPr>
              <w:spacing w:lineRule="auto" w:line="240" w:before="0" w:after="0"/>
              <w:contextualSpacing/>
              <w:rPr/>
            </w:pPr>
            <w:r>
              <w:rPr/>
              <w:t>Able to use the full range of computer skills appropriate to the post e.g. Outlook; Excel; Word, Power Point.</w:t>
            </w:r>
          </w:p>
          <w:p>
            <w:pPr>
              <w:pStyle w:val="ListParagraph"/>
              <w:numPr>
                <w:ilvl w:val="0"/>
                <w:numId w:val="3"/>
              </w:numPr>
              <w:spacing w:lineRule="auto" w:line="240" w:before="0" w:after="0"/>
              <w:contextualSpacing/>
              <w:rPr/>
            </w:pPr>
            <w:r>
              <w:rPr/>
              <w:t>Leading teams using excellent management skills to maximise efficiency and effectiveness.</w:t>
            </w:r>
          </w:p>
          <w:p>
            <w:pPr>
              <w:pStyle w:val="ListParagraph"/>
              <w:numPr>
                <w:ilvl w:val="0"/>
                <w:numId w:val="3"/>
              </w:numPr>
              <w:spacing w:lineRule="auto" w:line="240" w:before="0" w:after="0"/>
              <w:contextualSpacing/>
              <w:rPr/>
            </w:pPr>
            <w:r>
              <w:rPr/>
              <w:t>Values diversity and difference, operates with integrity and openness, in a politically sensitive environment.</w:t>
              <w:tab/>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Masters, postgraduate management qualification, or equivalent professional qualification in Health and Social Care, Public Health (including the UKPHR Practitioner Programme)</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Experience of working with national governing sporting bodies around local leisure and sport facilities</w:t>
            </w:r>
          </w:p>
          <w:p>
            <w:pPr>
              <w:pStyle w:val="Normal"/>
              <w:spacing w:lineRule="auto" w:line="240" w:before="0" w:after="0"/>
              <w:ind w:left="360" w:right="0" w:hanging="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2026-06-12T06:46:00Z</dcterms:created>
  <dc:creator>Bernadette Wilde</dc:creator>
  <dc:description/>
  <dc:language>en-US</dc:language>
  <cp:lastModifiedBy>James Mallion</cp:lastModifiedBy>
  <cp:lastPrinted>1995-11-21T17:41:00Z</cp:lastPrinted>
  <dcterms:modified xsi:type="dcterms:W3CDTF">2026-06-12T06:46:00Z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