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82F8DB3" w:rsidR="007672D6" w:rsidRPr="007672D6" w:rsidRDefault="00897D7F" w:rsidP="007672D6">
            <w:pPr>
              <w:rPr>
                <w:rFonts w:ascii="Arial" w:hAnsi="Arial" w:cs="Arial"/>
                <w:sz w:val="22"/>
                <w:szCs w:val="22"/>
              </w:rPr>
            </w:pPr>
            <w:r w:rsidRPr="00897D7F">
              <w:rPr>
                <w:rFonts w:ascii="Arial" w:hAnsi="Arial" w:cs="Arial"/>
                <w:sz w:val="22"/>
                <w:szCs w:val="22"/>
              </w:rPr>
              <w:t>Family Group Conference Team Manager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0B498CC" w:rsidR="00194758" w:rsidRPr="007672D6" w:rsidRDefault="00897D7F" w:rsidP="007672D6">
            <w:pPr>
              <w:rPr>
                <w:rFonts w:ascii="Arial" w:hAnsi="Arial" w:cs="Arial"/>
                <w:sz w:val="22"/>
                <w:szCs w:val="22"/>
              </w:rPr>
            </w:pPr>
            <w:r>
              <w:rPr>
                <w:rFonts w:ascii="Arial" w:hAnsi="Arial" w:cs="Arial"/>
                <w:sz w:val="22"/>
                <w:szCs w:val="22"/>
              </w:rPr>
              <w:t>DH14-S</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0347115" w:rsidR="007672D6" w:rsidRPr="007672D6" w:rsidRDefault="00897D7F" w:rsidP="007672D6">
            <w:pPr>
              <w:rPr>
                <w:rFonts w:ascii="Arial" w:hAnsi="Arial" w:cs="Arial"/>
                <w:sz w:val="22"/>
                <w:szCs w:val="22"/>
              </w:rPr>
            </w:pPr>
            <w:r>
              <w:rPr>
                <w:rFonts w:ascii="Arial" w:hAnsi="Arial" w:cs="Arial"/>
                <w:sz w:val="22"/>
                <w:szCs w:val="22"/>
              </w:rPr>
              <w:t>Children’s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FA531F5" w:rsidR="007672D6" w:rsidRPr="007672D6" w:rsidRDefault="00A56488" w:rsidP="007672D6">
            <w:pPr>
              <w:rPr>
                <w:rFonts w:ascii="Arial" w:hAnsi="Arial" w:cs="Arial"/>
                <w:sz w:val="22"/>
                <w:szCs w:val="22"/>
              </w:rPr>
            </w:pPr>
            <w:r>
              <w:rPr>
                <w:rFonts w:ascii="Arial" w:hAnsi="Arial" w:cs="Arial"/>
                <w:sz w:val="22"/>
                <w:szCs w:val="22"/>
              </w:rPr>
              <w:t>I</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24BE231" w:rsidR="007672D6" w:rsidRPr="007672D6" w:rsidRDefault="00897D7F" w:rsidP="007672D6">
            <w:pPr>
              <w:rPr>
                <w:rFonts w:ascii="Arial" w:hAnsi="Arial" w:cs="Arial"/>
                <w:sz w:val="22"/>
                <w:szCs w:val="22"/>
              </w:rPr>
            </w:pPr>
            <w:r w:rsidRPr="00897D7F">
              <w:rPr>
                <w:rFonts w:ascii="Arial" w:hAnsi="Arial" w:cs="Arial"/>
                <w:sz w:val="22"/>
                <w:szCs w:val="22"/>
              </w:rPr>
              <w:t>Service Lead for Families Valued</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8020DEB" w14:textId="77777777" w:rsidR="00897D7F" w:rsidRPr="00897D7F" w:rsidRDefault="00897D7F" w:rsidP="00897D7F">
            <w:pPr>
              <w:rPr>
                <w:rFonts w:ascii="Arial" w:eastAsiaTheme="minorHAnsi" w:hAnsi="Arial" w:cs="Arial"/>
                <w:b/>
                <w:sz w:val="22"/>
                <w:szCs w:val="22"/>
              </w:rPr>
            </w:pPr>
            <w:r w:rsidRPr="00897D7F">
              <w:rPr>
                <w:rFonts w:ascii="Arial" w:eastAsiaTheme="minorHAnsi" w:hAnsi="Arial" w:cs="Arial"/>
                <w:b/>
                <w:sz w:val="22"/>
                <w:szCs w:val="22"/>
              </w:rPr>
              <w:t xml:space="preserve">We are looking for </w:t>
            </w:r>
          </w:p>
          <w:p w14:paraId="11DCD1EE" w14:textId="77777777" w:rsidR="00897D7F" w:rsidRPr="00897D7F" w:rsidRDefault="00897D7F" w:rsidP="00897D7F">
            <w:pPr>
              <w:rPr>
                <w:rFonts w:ascii="Arial" w:eastAsiaTheme="minorHAnsi" w:hAnsi="Arial" w:cs="Arial"/>
                <w:bCs/>
                <w:sz w:val="22"/>
                <w:szCs w:val="22"/>
              </w:rPr>
            </w:pPr>
          </w:p>
          <w:p w14:paraId="5F6E5DF8" w14:textId="77777777" w:rsidR="00897D7F" w:rsidRPr="00897D7F" w:rsidRDefault="00897D7F" w:rsidP="00897D7F">
            <w:pPr>
              <w:rPr>
                <w:rFonts w:ascii="Arial" w:eastAsiaTheme="minorHAnsi" w:hAnsi="Arial" w:cs="Arial"/>
                <w:bCs/>
                <w:sz w:val="22"/>
                <w:szCs w:val="22"/>
              </w:rPr>
            </w:pPr>
            <w:r w:rsidRPr="00897D7F">
              <w:rPr>
                <w:rFonts w:ascii="Arial" w:eastAsiaTheme="minorHAnsi" w:hAnsi="Arial" w:cs="Arial"/>
                <w:bCs/>
                <w:sz w:val="22"/>
                <w:szCs w:val="22"/>
              </w:rPr>
              <w:t xml:space="preserve">We have an exciting opportunity to join our Families Valued Service as a Family Group Conference Team Manager. We are looking for a dynamic and motivated Team Manager to lead a team of Family Group Conference Facilitators as we move and develop into the Families First Partnership reforms. </w:t>
            </w:r>
          </w:p>
          <w:p w14:paraId="2817CA03" w14:textId="77777777" w:rsidR="00897D7F" w:rsidRPr="00897D7F" w:rsidRDefault="00897D7F" w:rsidP="00897D7F">
            <w:pPr>
              <w:rPr>
                <w:rFonts w:ascii="Arial" w:eastAsiaTheme="minorHAnsi" w:hAnsi="Arial" w:cs="Arial"/>
                <w:bCs/>
                <w:sz w:val="22"/>
                <w:szCs w:val="22"/>
              </w:rPr>
            </w:pPr>
            <w:r w:rsidRPr="00897D7F">
              <w:rPr>
                <w:rFonts w:ascii="Arial" w:eastAsiaTheme="minorHAnsi" w:hAnsi="Arial" w:cs="Arial"/>
                <w:bCs/>
                <w:sz w:val="22"/>
                <w:szCs w:val="22"/>
              </w:rPr>
              <w:t xml:space="preserve">You will play a pivotal part in supporting workers promote and facilitate family led decision making during social care involvement with children and families. </w:t>
            </w:r>
          </w:p>
          <w:p w14:paraId="33ADA38A" w14:textId="77777777" w:rsidR="00897D7F" w:rsidRPr="00897D7F" w:rsidRDefault="00897D7F" w:rsidP="00897D7F">
            <w:pPr>
              <w:rPr>
                <w:rFonts w:ascii="Arial" w:eastAsiaTheme="minorHAnsi" w:hAnsi="Arial" w:cs="Arial"/>
                <w:bCs/>
                <w:sz w:val="22"/>
                <w:szCs w:val="22"/>
              </w:rPr>
            </w:pPr>
            <w:r w:rsidRPr="00897D7F">
              <w:rPr>
                <w:rFonts w:ascii="Arial" w:eastAsiaTheme="minorHAnsi" w:hAnsi="Arial" w:cs="Arial"/>
                <w:bCs/>
                <w:sz w:val="22"/>
                <w:szCs w:val="22"/>
              </w:rPr>
              <w:t>You will support your team to promote collaborative decision-making and participation with families. The children and their families take a central role in decision making, creating an attainable and realistic family plan, designed to keep families together and improve support.</w:t>
            </w:r>
          </w:p>
          <w:p w14:paraId="2767C5CB" w14:textId="77777777" w:rsidR="00897D7F" w:rsidRPr="00897D7F" w:rsidRDefault="00897D7F" w:rsidP="00897D7F">
            <w:pPr>
              <w:rPr>
                <w:rFonts w:ascii="Arial" w:eastAsiaTheme="minorHAnsi" w:hAnsi="Arial" w:cs="Arial"/>
                <w:bCs/>
                <w:sz w:val="22"/>
                <w:szCs w:val="22"/>
              </w:rPr>
            </w:pPr>
          </w:p>
          <w:p w14:paraId="531BBC5C" w14:textId="77777777" w:rsidR="00897D7F" w:rsidRPr="00897D7F" w:rsidRDefault="00897D7F" w:rsidP="00897D7F">
            <w:pPr>
              <w:rPr>
                <w:rFonts w:ascii="Arial" w:hAnsi="Arial" w:cs="Arial"/>
                <w:b/>
                <w:bCs/>
                <w:sz w:val="22"/>
                <w:szCs w:val="22"/>
              </w:rPr>
            </w:pPr>
            <w:r w:rsidRPr="00897D7F">
              <w:rPr>
                <w:rFonts w:ascii="Arial" w:hAnsi="Arial" w:cs="Arial"/>
                <w:color w:val="000000" w:themeColor="text1"/>
                <w:sz w:val="22"/>
                <w:szCs w:val="22"/>
              </w:rPr>
              <w:t xml:space="preserve">As a Family Group Conference Team </w:t>
            </w:r>
            <w:proofErr w:type="gramStart"/>
            <w:r w:rsidRPr="00897D7F">
              <w:rPr>
                <w:rFonts w:ascii="Arial" w:hAnsi="Arial" w:cs="Arial"/>
                <w:color w:val="000000" w:themeColor="text1"/>
                <w:sz w:val="22"/>
                <w:szCs w:val="22"/>
              </w:rPr>
              <w:t>Manager</w:t>
            </w:r>
            <w:proofErr w:type="gramEnd"/>
            <w:r w:rsidRPr="00897D7F">
              <w:rPr>
                <w:rFonts w:ascii="Arial" w:hAnsi="Arial" w:cs="Arial"/>
                <w:color w:val="000000" w:themeColor="text1"/>
                <w:sz w:val="22"/>
                <w:szCs w:val="22"/>
              </w:rPr>
              <w:t xml:space="preserve"> you will champion</w:t>
            </w:r>
            <w:r w:rsidRPr="00897D7F">
              <w:rPr>
                <w:rFonts w:ascii="Arial" w:hAnsi="Arial" w:cs="Arial"/>
                <w:b/>
                <w:bCs/>
                <w:color w:val="000000" w:themeColor="text1"/>
                <w:sz w:val="22"/>
                <w:szCs w:val="22"/>
              </w:rPr>
              <w:t xml:space="preserve"> </w:t>
            </w:r>
            <w:r w:rsidRPr="00897D7F">
              <w:rPr>
                <w:rFonts w:ascii="Arial" w:hAnsi="Arial" w:cs="Arial"/>
                <w:b/>
                <w:bCs/>
                <w:color w:val="2E74B5" w:themeColor="accent1" w:themeShade="BF"/>
                <w:sz w:val="22"/>
                <w:szCs w:val="22"/>
              </w:rPr>
              <w:t>Tameside’s</w:t>
            </w:r>
            <w:r w:rsidRPr="00897D7F">
              <w:rPr>
                <w:rFonts w:ascii="Arial" w:hAnsi="Arial" w:cs="Arial"/>
                <w:b/>
                <w:bCs/>
                <w:sz w:val="22"/>
                <w:szCs w:val="22"/>
              </w:rPr>
              <w:t xml:space="preserve"> </w:t>
            </w:r>
            <w:r w:rsidRPr="00897D7F">
              <w:rPr>
                <w:rFonts w:ascii="Arial" w:hAnsi="Arial" w:cs="Arial"/>
                <w:b/>
                <w:bCs/>
                <w:color w:val="92D050"/>
                <w:sz w:val="22"/>
                <w:szCs w:val="22"/>
              </w:rPr>
              <w:t>Heart</w:t>
            </w:r>
            <w:r w:rsidRPr="00897D7F">
              <w:rPr>
                <w:rFonts w:ascii="Arial" w:hAnsi="Arial" w:cs="Arial"/>
                <w:b/>
                <w:bCs/>
                <w:sz w:val="22"/>
                <w:szCs w:val="22"/>
              </w:rPr>
              <w:t xml:space="preserve"> </w:t>
            </w:r>
            <w:r w:rsidRPr="00897D7F">
              <w:rPr>
                <w:rFonts w:ascii="Arial" w:hAnsi="Arial" w:cs="Arial"/>
                <w:b/>
                <w:bCs/>
                <w:color w:val="2E74B5" w:themeColor="accent1" w:themeShade="BF"/>
                <w:sz w:val="22"/>
                <w:szCs w:val="22"/>
              </w:rPr>
              <w:t>of Support Practice Approach</w:t>
            </w:r>
          </w:p>
          <w:p w14:paraId="6A15F76D" w14:textId="77777777" w:rsidR="00897D7F" w:rsidRPr="00897D7F" w:rsidRDefault="00897D7F" w:rsidP="00897D7F">
            <w:pPr>
              <w:rPr>
                <w:rFonts w:ascii="Arial" w:hAnsi="Arial" w:cs="Arial"/>
                <w:b/>
                <w:bCs/>
                <w:sz w:val="22"/>
                <w:szCs w:val="22"/>
              </w:rPr>
            </w:pPr>
          </w:p>
          <w:p w14:paraId="67C200EA" w14:textId="77777777" w:rsidR="00897D7F" w:rsidRPr="00897D7F" w:rsidRDefault="00897D7F" w:rsidP="00897D7F">
            <w:pPr>
              <w:rPr>
                <w:rFonts w:ascii="Arial" w:hAnsi="Arial" w:cs="Arial"/>
                <w:sz w:val="22"/>
                <w:szCs w:val="22"/>
              </w:rPr>
            </w:pPr>
            <w:r w:rsidRPr="00897D7F">
              <w:rPr>
                <w:rFonts w:ascii="Arial" w:hAnsi="Arial" w:cs="Arial"/>
                <w:sz w:val="22"/>
                <w:szCs w:val="22"/>
              </w:rPr>
              <w:t>At Tameside, we believe in:</w:t>
            </w:r>
          </w:p>
          <w:p w14:paraId="18A9F590" w14:textId="77777777" w:rsidR="00897D7F" w:rsidRPr="00897D7F" w:rsidRDefault="00897D7F" w:rsidP="00897D7F">
            <w:pPr>
              <w:numPr>
                <w:ilvl w:val="0"/>
                <w:numId w:val="28"/>
              </w:numPr>
              <w:spacing w:after="160" w:line="276" w:lineRule="auto"/>
              <w:rPr>
                <w:rFonts w:ascii="Arial" w:hAnsi="Arial" w:cs="Arial"/>
                <w:sz w:val="22"/>
                <w:szCs w:val="22"/>
              </w:rPr>
            </w:pPr>
            <w:r w:rsidRPr="00897D7F">
              <w:rPr>
                <w:rFonts w:ascii="Arial" w:hAnsi="Arial" w:cs="Arial"/>
                <w:b/>
                <w:bCs/>
                <w:color w:val="92D050"/>
                <w:sz w:val="22"/>
                <w:szCs w:val="22"/>
              </w:rPr>
              <w:t>Compassion</w:t>
            </w:r>
            <w:r w:rsidRPr="00897D7F">
              <w:rPr>
                <w:rFonts w:ascii="Arial" w:hAnsi="Arial" w:cs="Arial"/>
                <w:sz w:val="22"/>
                <w:szCs w:val="22"/>
              </w:rPr>
              <w:t xml:space="preserve"> – understanding the lived experiences of children and families.</w:t>
            </w:r>
          </w:p>
          <w:p w14:paraId="4B3E6603" w14:textId="77777777" w:rsidR="00897D7F" w:rsidRPr="00897D7F" w:rsidRDefault="00897D7F" w:rsidP="00897D7F">
            <w:pPr>
              <w:numPr>
                <w:ilvl w:val="0"/>
                <w:numId w:val="28"/>
              </w:numPr>
              <w:spacing w:after="160" w:line="276" w:lineRule="auto"/>
              <w:rPr>
                <w:rFonts w:ascii="Arial" w:hAnsi="Arial" w:cs="Arial"/>
                <w:sz w:val="22"/>
                <w:szCs w:val="22"/>
              </w:rPr>
            </w:pPr>
            <w:r w:rsidRPr="00897D7F">
              <w:rPr>
                <w:rFonts w:ascii="Arial" w:hAnsi="Arial" w:cs="Arial"/>
                <w:b/>
                <w:bCs/>
                <w:color w:val="92D050"/>
                <w:sz w:val="22"/>
                <w:szCs w:val="22"/>
              </w:rPr>
              <w:t>Curiosity</w:t>
            </w:r>
            <w:r w:rsidRPr="00897D7F">
              <w:rPr>
                <w:rFonts w:ascii="Arial" w:hAnsi="Arial" w:cs="Arial"/>
                <w:sz w:val="22"/>
                <w:szCs w:val="22"/>
              </w:rPr>
              <w:t xml:space="preserve"> – asking questions that lead to deeper insight and better outcomes for children.</w:t>
            </w:r>
          </w:p>
          <w:p w14:paraId="33DC4C9E" w14:textId="77777777" w:rsidR="00897D7F" w:rsidRPr="00897D7F" w:rsidRDefault="00897D7F" w:rsidP="00897D7F">
            <w:pPr>
              <w:numPr>
                <w:ilvl w:val="0"/>
                <w:numId w:val="28"/>
              </w:numPr>
              <w:spacing w:after="160" w:line="276" w:lineRule="auto"/>
              <w:rPr>
                <w:rFonts w:ascii="Arial" w:hAnsi="Arial" w:cs="Arial"/>
                <w:sz w:val="22"/>
                <w:szCs w:val="22"/>
              </w:rPr>
            </w:pPr>
            <w:r w:rsidRPr="00897D7F">
              <w:rPr>
                <w:rFonts w:ascii="Arial" w:hAnsi="Arial" w:cs="Arial"/>
                <w:b/>
                <w:bCs/>
                <w:color w:val="92D050"/>
                <w:sz w:val="22"/>
                <w:szCs w:val="22"/>
              </w:rPr>
              <w:t>Collaboration</w:t>
            </w:r>
            <w:r w:rsidRPr="00897D7F">
              <w:rPr>
                <w:rFonts w:ascii="Arial" w:hAnsi="Arial" w:cs="Arial"/>
                <w:sz w:val="22"/>
                <w:szCs w:val="22"/>
              </w:rPr>
              <w:t xml:space="preserve"> – working together across services to deliver joined-up support.</w:t>
            </w:r>
          </w:p>
          <w:p w14:paraId="257426D6" w14:textId="77777777" w:rsidR="00897D7F" w:rsidRPr="00897D7F" w:rsidRDefault="00897D7F" w:rsidP="00897D7F">
            <w:pPr>
              <w:numPr>
                <w:ilvl w:val="0"/>
                <w:numId w:val="28"/>
              </w:numPr>
              <w:spacing w:after="160" w:line="276" w:lineRule="auto"/>
              <w:rPr>
                <w:rFonts w:ascii="Arial" w:hAnsi="Arial" w:cs="Arial"/>
                <w:sz w:val="22"/>
                <w:szCs w:val="22"/>
              </w:rPr>
            </w:pPr>
            <w:r w:rsidRPr="00897D7F">
              <w:rPr>
                <w:rFonts w:ascii="Arial" w:hAnsi="Arial" w:cs="Arial"/>
                <w:b/>
                <w:bCs/>
                <w:color w:val="92D050"/>
                <w:sz w:val="22"/>
                <w:szCs w:val="22"/>
              </w:rPr>
              <w:t>Conversation</w:t>
            </w:r>
            <w:r w:rsidRPr="00897D7F">
              <w:rPr>
                <w:rFonts w:ascii="Arial" w:hAnsi="Arial" w:cs="Arial"/>
                <w:sz w:val="22"/>
                <w:szCs w:val="22"/>
              </w:rPr>
              <w:t xml:space="preserve"> – listening and engaging meaningfully with children, families and professionals.</w:t>
            </w:r>
          </w:p>
          <w:p w14:paraId="7402A69F" w14:textId="77777777" w:rsidR="00897D7F" w:rsidRPr="00897D7F" w:rsidRDefault="00897D7F" w:rsidP="00897D7F">
            <w:pPr>
              <w:numPr>
                <w:ilvl w:val="0"/>
                <w:numId w:val="28"/>
              </w:numPr>
              <w:spacing w:after="160" w:line="276" w:lineRule="auto"/>
              <w:rPr>
                <w:rFonts w:ascii="Arial" w:hAnsi="Arial" w:cs="Arial"/>
                <w:sz w:val="22"/>
                <w:szCs w:val="22"/>
              </w:rPr>
            </w:pPr>
            <w:r w:rsidRPr="00897D7F">
              <w:rPr>
                <w:rFonts w:ascii="Arial" w:hAnsi="Arial" w:cs="Arial"/>
                <w:b/>
                <w:bCs/>
                <w:color w:val="92D050"/>
                <w:sz w:val="22"/>
                <w:szCs w:val="22"/>
              </w:rPr>
              <w:t>Courage</w:t>
            </w:r>
            <w:r w:rsidRPr="00897D7F">
              <w:rPr>
                <w:rFonts w:ascii="Arial" w:hAnsi="Arial" w:cs="Arial"/>
                <w:sz w:val="22"/>
                <w:szCs w:val="22"/>
              </w:rPr>
              <w:t xml:space="preserve"> – leading with courage, making bold and compassionate decisions that put children first.</w:t>
            </w:r>
          </w:p>
          <w:p w14:paraId="528F9D99" w14:textId="5461C15F" w:rsidR="00897D7F" w:rsidRPr="00897D7F" w:rsidRDefault="00897D7F" w:rsidP="00897D7F">
            <w:pPr>
              <w:rPr>
                <w:rFonts w:ascii="Arial" w:eastAsiaTheme="minorHAnsi" w:hAnsi="Arial" w:cs="Arial"/>
                <w:bCs/>
                <w:sz w:val="22"/>
                <w:szCs w:val="22"/>
              </w:rPr>
            </w:pPr>
            <w:r w:rsidRPr="00897D7F">
              <w:rPr>
                <w:rFonts w:ascii="Arial" w:eastAsiaTheme="minorHAnsi" w:hAnsi="Arial" w:cs="Arial"/>
                <w:bCs/>
                <w:sz w:val="22"/>
                <w:szCs w:val="22"/>
              </w:rPr>
              <w:t>The 5 C’s will be central to all the work that you complete.</w:t>
            </w:r>
          </w:p>
          <w:p w14:paraId="118B9359" w14:textId="77777777" w:rsidR="00D56541" w:rsidRPr="00897D7F" w:rsidRDefault="00D56541" w:rsidP="00AA0D19">
            <w:pPr>
              <w:rPr>
                <w:rFonts w:ascii="Arial" w:eastAsiaTheme="minorHAnsi" w:hAnsi="Arial" w:cs="Arial"/>
                <w:sz w:val="22"/>
                <w:szCs w:val="22"/>
              </w:rPr>
            </w:pPr>
          </w:p>
          <w:p w14:paraId="32A087D0" w14:textId="77777777" w:rsidR="00BF087C" w:rsidRPr="00897D7F" w:rsidRDefault="00AA3FBD" w:rsidP="00BF087C">
            <w:pPr>
              <w:spacing w:before="120"/>
              <w:jc w:val="both"/>
              <w:rPr>
                <w:rFonts w:ascii="Arial" w:hAnsi="Arial" w:cs="Arial"/>
                <w:sz w:val="22"/>
                <w:szCs w:val="22"/>
              </w:rPr>
            </w:pPr>
            <w:r w:rsidRPr="00897D7F">
              <w:rPr>
                <w:rFonts w:ascii="Arial" w:hAnsi="Arial" w:cs="Arial"/>
                <w:b/>
                <w:sz w:val="22"/>
                <w:szCs w:val="22"/>
              </w:rPr>
              <w:t>M</w:t>
            </w:r>
            <w:r w:rsidR="00BF087C" w:rsidRPr="00897D7F">
              <w:rPr>
                <w:rFonts w:ascii="Arial" w:hAnsi="Arial" w:cs="Arial"/>
                <w:b/>
                <w:sz w:val="22"/>
                <w:szCs w:val="22"/>
              </w:rPr>
              <w:t>ain Duties and Responsibilities include:</w:t>
            </w:r>
          </w:p>
          <w:p w14:paraId="09798DCC" w14:textId="77777777" w:rsidR="00DA2EA9" w:rsidRPr="00897D7F" w:rsidRDefault="00DA2EA9" w:rsidP="00DA2EA9">
            <w:pPr>
              <w:pStyle w:val="Default"/>
              <w:ind w:left="780"/>
              <w:rPr>
                <w:sz w:val="22"/>
                <w:szCs w:val="22"/>
                <w:highlight w:val="yellow"/>
              </w:rPr>
            </w:pPr>
          </w:p>
          <w:p w14:paraId="3BBB9FEA"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t>To ensure effective leadership, management and supervision of the FGC Facilitators and any other relevant staff in the team.</w:t>
            </w:r>
          </w:p>
          <w:p w14:paraId="27F29AAB"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t>To be responsible for the planning, coordination facilitation and review of Family Group Conferences in a way that ensures the key principles of FGC are observed and contribute appropriately to the outcomes for children and their families from a diversity of backgrounds.</w:t>
            </w:r>
          </w:p>
          <w:p w14:paraId="2124509D"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t>When relevant, recruit and train new FGC Facilitators to required standards.</w:t>
            </w:r>
          </w:p>
          <w:p w14:paraId="09355D3F"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t xml:space="preserve">Provide high quality leadership and direction to FGC Facilitators, setting out the team goals and plan and making it clear how they support the fundamental purpose and contribute to the wider improvement plan. </w:t>
            </w:r>
          </w:p>
          <w:p w14:paraId="5F46F4EE"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lastRenderedPageBreak/>
              <w:t>To ensure that requests for FGC’s are allocated among the coordinators in a timely manner.</w:t>
            </w:r>
          </w:p>
          <w:p w14:paraId="402F2D65"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t>To support and contribute to the development of and vision for the service and ensure that Family Group Conferences are used to strengthen family involvement and relational ways of working with families, to safely achieve best outcomes for children.</w:t>
            </w:r>
          </w:p>
          <w:p w14:paraId="6CED5AD9"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t>To use qualitative and quantitative data to provide regular reports on the team and its effectiveness of the FGC service to be used to support service improvement, making recommendations for change and be responsible for taking action to improve standards as required.</w:t>
            </w:r>
          </w:p>
          <w:p w14:paraId="68C32AE5"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t>To contribute to the development, implementation and review of FGC policies and procedures ensuring accurate representation in the context of relevant legislation and statutory guidance.</w:t>
            </w:r>
          </w:p>
          <w:p w14:paraId="22517AF8"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t>To ensure the quality of the service is of a high standard and meets departmental policies and guidelines, including being sensitive to the diversity of needs across the district.</w:t>
            </w:r>
          </w:p>
          <w:p w14:paraId="2AE74586" w14:textId="77777777" w:rsidR="00897D7F" w:rsidRPr="00897D7F" w:rsidRDefault="00897D7F" w:rsidP="00897D7F">
            <w:pPr>
              <w:pStyle w:val="BodyText"/>
              <w:numPr>
                <w:ilvl w:val="0"/>
                <w:numId w:val="28"/>
              </w:numPr>
              <w:jc w:val="both"/>
              <w:rPr>
                <w:rFonts w:cs="Arial"/>
                <w:b w:val="0"/>
                <w:bCs w:val="0"/>
                <w:sz w:val="22"/>
                <w:szCs w:val="22"/>
              </w:rPr>
            </w:pPr>
            <w:r w:rsidRPr="00897D7F">
              <w:rPr>
                <w:rFonts w:cs="Arial"/>
                <w:b w:val="0"/>
                <w:bCs w:val="0"/>
                <w:sz w:val="22"/>
                <w:szCs w:val="22"/>
              </w:rPr>
              <w:t>To oversee the FGC process and ensure the key principles of FGC are observed and contribute to better outcomes for children and their families</w:t>
            </w:r>
          </w:p>
          <w:p w14:paraId="4E9255E4" w14:textId="0562FFD3" w:rsidR="003F43E2" w:rsidRPr="00897D7F" w:rsidRDefault="00897D7F" w:rsidP="00897D7F">
            <w:pPr>
              <w:pStyle w:val="BodyText"/>
              <w:numPr>
                <w:ilvl w:val="0"/>
                <w:numId w:val="28"/>
              </w:numPr>
              <w:rPr>
                <w:b w:val="0"/>
                <w:bCs w:val="0"/>
                <w:sz w:val="22"/>
                <w:szCs w:val="22"/>
              </w:rPr>
            </w:pPr>
            <w:r w:rsidRPr="00897D7F">
              <w:rPr>
                <w:rFonts w:cs="Arial"/>
                <w:b w:val="0"/>
                <w:bCs w:val="0"/>
                <w:sz w:val="22"/>
                <w:szCs w:val="22"/>
              </w:rPr>
              <w:t>To support implementation on families first partnership reforms.</w:t>
            </w:r>
          </w:p>
          <w:p w14:paraId="61206335" w14:textId="77777777" w:rsidR="00F871CF" w:rsidRPr="00897D7F" w:rsidRDefault="00F871CF" w:rsidP="006C4666">
            <w:pPr>
              <w:pStyle w:val="NoSpacing"/>
              <w:jc w:val="both"/>
              <w:rPr>
                <w:rFonts w:ascii="Arial" w:hAnsi="Arial" w:cs="Arial"/>
              </w:rPr>
            </w:pPr>
          </w:p>
          <w:p w14:paraId="5EF5F70D" w14:textId="37555EBE" w:rsidR="00DA2EA9" w:rsidRPr="00897D7F" w:rsidRDefault="003F43E2" w:rsidP="006C4666">
            <w:pPr>
              <w:pStyle w:val="NoSpacing"/>
              <w:jc w:val="both"/>
              <w:rPr>
                <w:rFonts w:ascii="Arial" w:hAnsi="Arial" w:cs="Arial"/>
              </w:rPr>
            </w:pPr>
            <w:r w:rsidRPr="00897D7F">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0DA626D1" w14:textId="77777777" w:rsidR="00897D7F" w:rsidRDefault="00897D7F" w:rsidP="00897D7F">
            <w:pPr>
              <w:pStyle w:val="NoSpacing"/>
              <w:numPr>
                <w:ilvl w:val="0"/>
                <w:numId w:val="26"/>
              </w:numPr>
              <w:rPr>
                <w:rFonts w:ascii="Arial" w:hAnsi="Arial" w:cs="Arial"/>
                <w:bCs/>
                <w:sz w:val="20"/>
                <w:szCs w:val="20"/>
              </w:rPr>
            </w:pPr>
            <w:r>
              <w:rPr>
                <w:rFonts w:ascii="Arial" w:hAnsi="Arial" w:cs="Arial"/>
                <w:bCs/>
                <w:sz w:val="20"/>
                <w:szCs w:val="20"/>
              </w:rPr>
              <w:t xml:space="preserve">Completed Family Group Conference training and /or Family Group Conference accreditation or willingness to complete within 12 months of appointment. </w:t>
            </w:r>
          </w:p>
          <w:p w14:paraId="76F3D427" w14:textId="7F4CF117" w:rsidR="00DA2EA9" w:rsidRPr="00897D7F" w:rsidRDefault="00897D7F" w:rsidP="00897D7F">
            <w:pPr>
              <w:pStyle w:val="ListParagraph"/>
              <w:numPr>
                <w:ilvl w:val="0"/>
                <w:numId w:val="26"/>
              </w:numPr>
              <w:rPr>
                <w:rFonts w:eastAsiaTheme="minorHAnsi"/>
                <w:bCs/>
                <w:sz w:val="20"/>
                <w:szCs w:val="20"/>
              </w:rPr>
            </w:pPr>
            <w:r>
              <w:rPr>
                <w:rFonts w:eastAsiaTheme="minorHAnsi"/>
                <w:bCs/>
                <w:sz w:val="20"/>
                <w:szCs w:val="20"/>
              </w:rPr>
              <w:t>A relevant professional, academic or management qualification minimum NVQ Level 5 and/or able to demonstrate equivalent experience and evidence of on-going training and CDP.</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04FDE6F6" w14:textId="77777777" w:rsidR="00897D7F" w:rsidRDefault="00897D7F" w:rsidP="00897D7F">
            <w:pPr>
              <w:pStyle w:val="NoSpacing"/>
              <w:numPr>
                <w:ilvl w:val="0"/>
                <w:numId w:val="26"/>
              </w:numPr>
              <w:jc w:val="both"/>
              <w:rPr>
                <w:rFonts w:ascii="Arial" w:hAnsi="Arial" w:cs="Arial"/>
                <w:bCs/>
                <w:sz w:val="20"/>
                <w:szCs w:val="20"/>
              </w:rPr>
            </w:pPr>
            <w:r>
              <w:rPr>
                <w:rFonts w:ascii="Arial" w:hAnsi="Arial" w:cs="Arial"/>
                <w:bCs/>
                <w:sz w:val="20"/>
                <w:szCs w:val="20"/>
              </w:rPr>
              <w:t xml:space="preserve">Substantial and recent experience of managing staff and/or students working directly with children and families. </w:t>
            </w:r>
          </w:p>
          <w:p w14:paraId="1B920E5C" w14:textId="77777777" w:rsidR="00897D7F" w:rsidRDefault="00897D7F" w:rsidP="00897D7F">
            <w:pPr>
              <w:pStyle w:val="NoSpacing"/>
              <w:numPr>
                <w:ilvl w:val="0"/>
                <w:numId w:val="26"/>
              </w:numPr>
              <w:jc w:val="both"/>
              <w:rPr>
                <w:rFonts w:ascii="Arial" w:hAnsi="Arial" w:cs="Arial"/>
                <w:bCs/>
                <w:sz w:val="20"/>
                <w:szCs w:val="20"/>
              </w:rPr>
            </w:pPr>
            <w:r>
              <w:rPr>
                <w:rFonts w:ascii="Arial" w:hAnsi="Arial" w:cs="Arial"/>
                <w:bCs/>
                <w:sz w:val="20"/>
                <w:szCs w:val="20"/>
              </w:rPr>
              <w:t>Experience of liaising with other professionals and working as a part of multi-agency groups.</w:t>
            </w:r>
          </w:p>
          <w:p w14:paraId="4D3DB298" w14:textId="77777777" w:rsidR="00897D7F" w:rsidRDefault="00897D7F" w:rsidP="00897D7F">
            <w:pPr>
              <w:pStyle w:val="NoSpacing"/>
              <w:numPr>
                <w:ilvl w:val="0"/>
                <w:numId w:val="26"/>
              </w:numPr>
              <w:jc w:val="both"/>
              <w:rPr>
                <w:rFonts w:ascii="Arial" w:hAnsi="Arial" w:cs="Arial"/>
                <w:bCs/>
                <w:sz w:val="20"/>
                <w:szCs w:val="20"/>
              </w:rPr>
            </w:pPr>
            <w:r>
              <w:rPr>
                <w:rFonts w:ascii="Arial" w:hAnsi="Arial" w:cs="Arial"/>
                <w:bCs/>
                <w:sz w:val="20"/>
                <w:szCs w:val="20"/>
              </w:rPr>
              <w:t>Experience of managing, motivating and empowering staff to achieve improvement</w:t>
            </w:r>
          </w:p>
          <w:p w14:paraId="52F93C85" w14:textId="77777777" w:rsidR="00897D7F" w:rsidRDefault="00897D7F" w:rsidP="00897D7F">
            <w:pPr>
              <w:pStyle w:val="NoSpacing"/>
              <w:numPr>
                <w:ilvl w:val="0"/>
                <w:numId w:val="26"/>
              </w:numPr>
              <w:jc w:val="both"/>
              <w:rPr>
                <w:rFonts w:ascii="Arial" w:hAnsi="Arial" w:cs="Arial"/>
                <w:bCs/>
                <w:sz w:val="20"/>
                <w:szCs w:val="20"/>
              </w:rPr>
            </w:pPr>
            <w:r>
              <w:rPr>
                <w:rFonts w:ascii="Arial" w:hAnsi="Arial" w:cs="Arial"/>
                <w:bCs/>
                <w:sz w:val="20"/>
                <w:szCs w:val="20"/>
              </w:rPr>
              <w:t xml:space="preserve">Substantial years’ experience working in a relevant role is desirable and relevant years’ experience in a supervisory or managerial capacity. </w:t>
            </w:r>
          </w:p>
          <w:p w14:paraId="3E93A936" w14:textId="77777777" w:rsidR="00897D7F" w:rsidRDefault="00897D7F" w:rsidP="00897D7F">
            <w:pPr>
              <w:pStyle w:val="NoSpacing"/>
              <w:numPr>
                <w:ilvl w:val="0"/>
                <w:numId w:val="26"/>
              </w:numPr>
              <w:jc w:val="both"/>
              <w:rPr>
                <w:rFonts w:ascii="Arial" w:hAnsi="Arial" w:cs="Arial"/>
                <w:bCs/>
                <w:sz w:val="20"/>
                <w:szCs w:val="20"/>
              </w:rPr>
            </w:pPr>
            <w:r>
              <w:rPr>
                <w:rFonts w:ascii="Arial" w:hAnsi="Arial" w:cs="Arial"/>
                <w:bCs/>
                <w:sz w:val="20"/>
                <w:szCs w:val="20"/>
              </w:rPr>
              <w:t>The applicant is required to provide evidence of having previously spoken fluently to members of the public to meet the Advanced threshold level outlined under Special Knowledge above.</w:t>
            </w:r>
          </w:p>
          <w:p w14:paraId="69B19F74" w14:textId="2CF62024" w:rsidR="00F56885" w:rsidRPr="00897D7F" w:rsidRDefault="00897D7F" w:rsidP="00897D7F">
            <w:pPr>
              <w:pStyle w:val="NoSpacing"/>
              <w:numPr>
                <w:ilvl w:val="0"/>
                <w:numId w:val="26"/>
              </w:numPr>
              <w:jc w:val="both"/>
              <w:rPr>
                <w:rFonts w:ascii="Arial" w:hAnsi="Arial" w:cs="Arial"/>
                <w:bCs/>
                <w:sz w:val="20"/>
                <w:szCs w:val="20"/>
              </w:rPr>
            </w:pPr>
            <w:r>
              <w:rPr>
                <w:rFonts w:ascii="Arial" w:hAnsi="Arial" w:cs="Arial"/>
                <w:bCs/>
                <w:sz w:val="20"/>
                <w:szCs w:val="20"/>
              </w:rPr>
              <w:t>Substantial and recent experience of managing staff and/or students working directly with children and families.</w:t>
            </w:r>
          </w:p>
          <w:p w14:paraId="107108F1" w14:textId="55AA344C" w:rsidR="00084507" w:rsidRPr="00DA2EA9" w:rsidRDefault="00084507" w:rsidP="00897D7F"/>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lastRenderedPageBreak/>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2F7A7C57">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2F3433A"/>
    <w:multiLevelType w:val="hybridMultilevel"/>
    <w:tmpl w:val="7F8ED8AA"/>
    <w:lvl w:ilvl="0" w:tplc="1A884340">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F7580"/>
    <w:multiLevelType w:val="hybridMultilevel"/>
    <w:tmpl w:val="E6085BE2"/>
    <w:lvl w:ilvl="0" w:tplc="208C0BD2">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77006"/>
    <w:multiLevelType w:val="multilevel"/>
    <w:tmpl w:val="D8B41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8713D"/>
    <w:multiLevelType w:val="hybridMultilevel"/>
    <w:tmpl w:val="1D34B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6"/>
  </w:num>
  <w:num w:numId="3" w16cid:durableId="910774182">
    <w:abstractNumId w:val="21"/>
  </w:num>
  <w:num w:numId="4" w16cid:durableId="1169516636">
    <w:abstractNumId w:val="7"/>
  </w:num>
  <w:num w:numId="5" w16cid:durableId="1561987400">
    <w:abstractNumId w:val="28"/>
  </w:num>
  <w:num w:numId="6" w16cid:durableId="822551177">
    <w:abstractNumId w:val="13"/>
  </w:num>
  <w:num w:numId="7" w16cid:durableId="1673795497">
    <w:abstractNumId w:val="12"/>
  </w:num>
  <w:num w:numId="8" w16cid:durableId="316148995">
    <w:abstractNumId w:val="9"/>
  </w:num>
  <w:num w:numId="9" w16cid:durableId="1553230647">
    <w:abstractNumId w:val="30"/>
  </w:num>
  <w:num w:numId="10" w16cid:durableId="1134181701">
    <w:abstractNumId w:val="23"/>
  </w:num>
  <w:num w:numId="11" w16cid:durableId="1254784418">
    <w:abstractNumId w:val="22"/>
  </w:num>
  <w:num w:numId="12" w16cid:durableId="910382423">
    <w:abstractNumId w:val="5"/>
  </w:num>
  <w:num w:numId="13" w16cid:durableId="633295969">
    <w:abstractNumId w:val="11"/>
  </w:num>
  <w:num w:numId="14" w16cid:durableId="2089576544">
    <w:abstractNumId w:val="3"/>
  </w:num>
  <w:num w:numId="15" w16cid:durableId="1146505965">
    <w:abstractNumId w:val="26"/>
  </w:num>
  <w:num w:numId="16" w16cid:durableId="39017291">
    <w:abstractNumId w:val="0"/>
  </w:num>
  <w:num w:numId="17" w16cid:durableId="791481645">
    <w:abstractNumId w:val="2"/>
  </w:num>
  <w:num w:numId="18" w16cid:durableId="14116590">
    <w:abstractNumId w:val="18"/>
  </w:num>
  <w:num w:numId="19" w16cid:durableId="917061853">
    <w:abstractNumId w:val="25"/>
  </w:num>
  <w:num w:numId="20" w16cid:durableId="1447240105">
    <w:abstractNumId w:val="20"/>
  </w:num>
  <w:num w:numId="21" w16cid:durableId="201135883">
    <w:abstractNumId w:val="19"/>
  </w:num>
  <w:num w:numId="22" w16cid:durableId="1863351382">
    <w:abstractNumId w:val="27"/>
  </w:num>
  <w:num w:numId="23" w16cid:durableId="1181969303">
    <w:abstractNumId w:val="10"/>
  </w:num>
  <w:num w:numId="24" w16cid:durableId="1976137817">
    <w:abstractNumId w:val="17"/>
  </w:num>
  <w:num w:numId="25" w16cid:durableId="488668338">
    <w:abstractNumId w:val="6"/>
  </w:num>
  <w:num w:numId="26" w16cid:durableId="1271816828">
    <w:abstractNumId w:val="15"/>
  </w:num>
  <w:num w:numId="27" w16cid:durableId="385908043">
    <w:abstractNumId w:val="14"/>
  </w:num>
  <w:num w:numId="28" w16cid:durableId="2058700147">
    <w:abstractNumId w:val="29"/>
  </w:num>
  <w:num w:numId="29" w16cid:durableId="1181434854">
    <w:abstractNumId w:val="24"/>
  </w:num>
  <w:num w:numId="30" w16cid:durableId="1229464864">
    <w:abstractNumId w:val="31"/>
  </w:num>
  <w:num w:numId="31" w16cid:durableId="677467797">
    <w:abstractNumId w:val="1"/>
  </w:num>
  <w:num w:numId="32" w16cid:durableId="70433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97D7F"/>
    <w:rsid w:val="008B187A"/>
    <w:rsid w:val="008D3E54"/>
    <w:rsid w:val="008E4247"/>
    <w:rsid w:val="009D5F30"/>
    <w:rsid w:val="009E3071"/>
    <w:rsid w:val="00A00D3B"/>
    <w:rsid w:val="00A2179A"/>
    <w:rsid w:val="00A25F3B"/>
    <w:rsid w:val="00A3440B"/>
    <w:rsid w:val="00A56488"/>
    <w:rsid w:val="00A749ED"/>
    <w:rsid w:val="00AA3FBD"/>
    <w:rsid w:val="00AB5EF8"/>
    <w:rsid w:val="00AD5587"/>
    <w:rsid w:val="00B13534"/>
    <w:rsid w:val="00B54B36"/>
    <w:rsid w:val="00B65FFA"/>
    <w:rsid w:val="00BB1AEC"/>
    <w:rsid w:val="00BB537B"/>
    <w:rsid w:val="00BB78C2"/>
    <w:rsid w:val="00BD2D35"/>
    <w:rsid w:val="00BF087C"/>
    <w:rsid w:val="00C11CA2"/>
    <w:rsid w:val="00C231BE"/>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17C70"/>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897D7F"/>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4650</Characters>
  <Application>Microsoft Office Word</Application>
  <DocSecurity>0</DocSecurity>
  <Lines>111</Lines>
  <Paragraphs>58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4</cp:revision>
  <dcterms:created xsi:type="dcterms:W3CDTF">2026-04-01T10:51:00Z</dcterms:created>
  <dcterms:modified xsi:type="dcterms:W3CDTF">2026-04-01T11:42:00Z</dcterms:modified>
</cp:coreProperties>
</file>