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ListParagraph"/>
        <w:spacing w:lineRule="auto" w:line="240" w:before="0" w:after="0"/>
        <w:ind w:left="7920" w:right="0"/>
        <w:contextualSpacing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drawing>
          <wp:anchor behindDoc="1" distT="0" distB="0" distL="114300" distR="114300" simplePos="0" locked="0" layoutInCell="0" allowOverlap="1" relativeHeight="3">
            <wp:simplePos x="0" y="0"/>
            <wp:positionH relativeFrom="margin">
              <wp:posOffset>-438150</wp:posOffset>
            </wp:positionH>
            <wp:positionV relativeFrom="margin">
              <wp:posOffset>480060</wp:posOffset>
            </wp:positionV>
            <wp:extent cx="7117080" cy="647065"/>
            <wp:effectExtent l="0" t="0" r="0" b="0"/>
            <wp:wrapSquare wrapText="bothSides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3374" t="84926" r="25679" b="6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bCs/>
          <w:sz w:val="22"/>
          <w:szCs w:val="22"/>
        </w:rPr>
        <w:t xml:space="preserve">Job Description and Person Specification Profile </w:t>
      </w:r>
    </w:p>
    <w:p>
      <w:pPr>
        <w:pStyle w:val="Normal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b/>
          <w:bCs/>
          <w:sz w:val="22"/>
          <w:szCs w:val="22"/>
        </w:rPr>
      </w:pPr>
      <w:r>
        <w:rPr>
          <w:rFonts w:eastAsia="Calibri" w:cs="Arial" w:ascii="Arial" w:hAnsi="Arial"/>
          <w:b/>
          <w:bCs/>
          <w:sz w:val="22"/>
          <w:szCs w:val="22"/>
        </w:rPr>
        <mc:AlternateContent>
          <mc:Choice Requires="wps">
            <w:drawing>
              <wp:anchor behindDoc="0" distT="0" distB="0" distL="114935" distR="114935" simplePos="0" locked="0" layoutInCell="1" allowOverlap="1" relativeHeight="6">
                <wp:simplePos x="0" y="0"/>
                <wp:positionH relativeFrom="column">
                  <wp:posOffset>3175</wp:posOffset>
                </wp:positionH>
                <wp:positionV relativeFrom="paragraph">
                  <wp:posOffset>11430</wp:posOffset>
                </wp:positionV>
                <wp:extent cx="6028055" cy="3047365"/>
                <wp:effectExtent l="19050" t="19050" r="19050" b="1905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8200" cy="3047400"/>
                        </a:xfrm>
                        <a:prstGeom prst="rect">
                          <a:avLst/>
                        </a:prstGeom>
                        <a:solidFill>
                          <a:srgbClr val="ffffcc">
                            <a:alpha val="60000"/>
                          </a:srgbClr>
                        </a:solidFill>
                        <a:ln cap="rnd" w="38160">
                          <a:solidFill>
                            <a:srgbClr val="ffff99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fillcolor="#ffffcc" stroked="t" o:allowincell="f" style="position:absolute;margin-left:0.25pt;margin-top:0.9pt;width:474.6pt;height:239.9pt;mso-wrap-style:none;v-text-anchor:middle" type="_x0000_t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v:fill o:detectmouseclick="t" type="solid" color2="#000033" opacity="0.59"/>
                <v:stroke color="#ffff99" weight="38160" joinstyle="round" endcap="round"/>
                <w10:wrap type="none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19050" distR="10795" simplePos="0" locked="0" layoutInCell="1" allowOverlap="1" relativeHeight="14">
                <wp:simplePos x="0" y="0"/>
                <wp:positionH relativeFrom="column">
                  <wp:posOffset>3175</wp:posOffset>
                </wp:positionH>
                <wp:positionV relativeFrom="paragraph">
                  <wp:posOffset>11430</wp:posOffset>
                </wp:positionV>
                <wp:extent cx="6028055" cy="3047365"/>
                <wp:effectExtent l="0" t="0" r="0" b="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8055" cy="304736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ind w:left="142" w:right="0"/>
                              <w:jc w:val="center"/>
                              <w:rPr>
                                <w:rFonts w:ascii="Arial" w:hAnsi="Arial" w:eastAsia="Calibri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32"/>
                                <w:szCs w:val="32"/>
                              </w:rPr>
                              <w:t>Social Worker – Learning Disability and Autism Team</w:t>
                            </w:r>
                          </w:p>
                          <w:p>
                            <w:pPr>
                              <w:pStyle w:val="FrameContents"/>
                              <w:ind w:left="142" w:right="0"/>
                              <w:jc w:val="center"/>
                              <w:rPr>
                                <w:rFonts w:ascii="Arial" w:hAnsi="Arial" w:eastAsia="Calibri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32"/>
                                <w:szCs w:val="32"/>
                              </w:rPr>
                            </w:r>
                          </w:p>
                          <w:tbl>
                            <w:tblPr>
                              <w:tblW w:w="9144" w:type="dxa"/>
                              <w:jc w:val="left"/>
                              <w:tblInd w:w="108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968"/>
                              <w:gridCol w:w="5176"/>
                            </w:tblGrid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  <w:vAlign w:val="center"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 xml:space="preserve">Team: 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>Learning Disability &amp; Autism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 xml:space="preserve">Service: 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>Adults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>Salary &amp; Grade/Band/Pay Range:</w:t>
                                  </w:r>
                                </w:p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>Job ID:</w:t>
                                  </w:r>
                                </w:p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 xml:space="preserve">Professional Grade Category:               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rPr/>
                                  </w:pPr>
                                  <w:r>
                                    <w:rPr>
                                      <w:rFonts w:eastAsia="Arial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eastAsia="Calibri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  <w:t>Grade H to H+</w:t>
                                  </w:r>
                                </w:p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i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</w:r>
                                </w:p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i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>Responsible to: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i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  <w:t>Assistant Team Manager/ Team Manager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 xml:space="preserve">Contract Basis: 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i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  <w:t>Permanent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 xml:space="preserve">Hours Per Week: 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i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  <w:t>36 hours per week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>Working Pattern: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i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  <w:t>Monday to Friday with occasional duty weekend shifts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>Location: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i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  <w:t>Wilshaw House, Ashton-Under-Lyne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>Probationary Period: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sz w:val="22"/>
                                      <w:szCs w:val="22"/>
                                    </w:rPr>
                                    <w:t>6 months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>Criminal records Check required: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i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968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b/>
                                      <w:sz w:val="22"/>
                                      <w:szCs w:val="22"/>
                                    </w:rPr>
                                    <w:t xml:space="preserve">Politically Restricted Post:  </w:t>
                                  </w:r>
                                </w:p>
                              </w:tc>
                              <w:tc>
                                <w:tcPr>
                                  <w:tcW w:w="5176" w:type="dxa"/>
                                  <w:tcBorders/>
                                </w:tcPr>
                                <w:p>
                                  <w:pPr>
                                    <w:pStyle w:val="FrameContents"/>
                                    <w:spacing w:lineRule="auto" w:line="240" w:before="0" w:after="0"/>
                                    <w:ind w:left="142" w:right="0"/>
                                    <w:rPr>
                                      <w:rFonts w:ascii="Arial" w:hAnsi="Arial" w:eastAsia="Calibri" w:cs="Arial"/>
                                      <w:i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Calibri" w:cs="Arial" w:ascii="Arial" w:hAnsi="Arial"/>
                                      <w:i/>
                                      <w:sz w:val="22"/>
                                      <w:szCs w:val="22"/>
                                    </w:rPr>
                                    <w:t xml:space="preserve">No 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Spacing"/>
                              <w:ind w:left="142" w:right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FrameContents"/>
                              <w:ind w:left="142" w:right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474.65pt;height:239.95pt;mso-wrap-distance-left:1.5pt;mso-wrap-distance-right:0.85pt;mso-wrap-distance-top:5.7pt;mso-wrap-distance-bottom:5.7pt;margin-top:0.9pt;mso-position-vertical-relative:text;margin-left:0.2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ind w:left="142" w:right="0"/>
                        <w:jc w:val="center"/>
                        <w:rPr>
                          <w:rFonts w:ascii="Arial" w:hAnsi="Arial" w:eastAsia="Calibri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eastAsia="Calibri" w:cs="Arial" w:ascii="Arial" w:hAnsi="Arial"/>
                          <w:b/>
                          <w:sz w:val="32"/>
                          <w:szCs w:val="32"/>
                        </w:rPr>
                        <w:t>Social Worker – Learning Disability and Autism Team</w:t>
                      </w:r>
                    </w:p>
                    <w:p>
                      <w:pPr>
                        <w:pStyle w:val="FrameContents"/>
                        <w:ind w:left="142" w:right="0"/>
                        <w:jc w:val="center"/>
                        <w:rPr>
                          <w:rFonts w:ascii="Arial" w:hAnsi="Arial" w:eastAsia="Calibri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eastAsia="Calibri" w:cs="Arial" w:ascii="Arial" w:hAnsi="Arial"/>
                          <w:b/>
                          <w:sz w:val="32"/>
                          <w:szCs w:val="32"/>
                        </w:rPr>
                      </w:r>
                    </w:p>
                    <w:tbl>
                      <w:tblPr>
                        <w:tblW w:w="9144" w:type="dxa"/>
                        <w:jc w:val="left"/>
                        <w:tblInd w:w="108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968"/>
                        <w:gridCol w:w="5176"/>
                      </w:tblGrid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  <w:vAlign w:val="center"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 xml:space="preserve">Team:                                                 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>Learning Disability &amp; Autism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 xml:space="preserve">Service: 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>Adults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>Salary &amp; Grade/Band/Pay Range: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>Job ID: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 xml:space="preserve">Professional Grade Category:               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i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eastAsia="Calibri" w:cs="Arial" w:ascii="Arial" w:hAnsi="Arial"/>
                                <w:i/>
                                <w:sz w:val="22"/>
                                <w:szCs w:val="22"/>
                              </w:rPr>
                              <w:t>Grade H to H+</w:t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i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i/>
                                <w:sz w:val="22"/>
                                <w:szCs w:val="22"/>
                              </w:rPr>
                              <w:t>Yes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>Responsible to: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i/>
                                <w:sz w:val="22"/>
                                <w:szCs w:val="22"/>
                              </w:rPr>
                              <w:t>Assistant Team Manager/ Team Manager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 xml:space="preserve">Contract Basis: 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i/>
                                <w:sz w:val="22"/>
                                <w:szCs w:val="22"/>
                              </w:rPr>
                              <w:t>Permanent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 xml:space="preserve">Hours Per Week: 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i/>
                                <w:sz w:val="22"/>
                                <w:szCs w:val="22"/>
                              </w:rPr>
                              <w:t>36 hours per week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>Working Pattern: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i/>
                                <w:sz w:val="22"/>
                                <w:szCs w:val="22"/>
                              </w:rPr>
                              <w:t>Monday to Friday with occasional duty weekend shifts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>Location: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i/>
                                <w:sz w:val="22"/>
                                <w:szCs w:val="22"/>
                              </w:rPr>
                              <w:t>Wilshaw House, Ashton-Under-Lyne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>Probationary Period: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sz w:val="22"/>
                                <w:szCs w:val="22"/>
                              </w:rPr>
                              <w:t>6 months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>Criminal records Check required: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i/>
                                <w:sz w:val="22"/>
                                <w:szCs w:val="22"/>
                              </w:rPr>
                              <w:t>Yes</w:t>
                            </w: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968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b/>
                                <w:sz w:val="22"/>
                                <w:szCs w:val="22"/>
                              </w:rPr>
                              <w:t xml:space="preserve">Politically Restricted Post:  </w:t>
                            </w:r>
                          </w:p>
                        </w:tc>
                        <w:tc>
                          <w:tcPr>
                            <w:tcW w:w="5176" w:type="dxa"/>
                            <w:tcBorders/>
                          </w:tcPr>
                          <w:p>
                            <w:pPr>
                              <w:pStyle w:val="FrameContents"/>
                              <w:spacing w:lineRule="auto" w:line="240" w:before="0" w:after="0"/>
                              <w:ind w:left="142" w:right="0"/>
                              <w:rPr>
                                <w:rFonts w:ascii="Arial" w:hAnsi="Arial" w:eastAsia="Calibri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Calibri" w:cs="Arial" w:ascii="Arial" w:hAnsi="Arial"/>
                                <w:i/>
                                <w:sz w:val="22"/>
                                <w:szCs w:val="22"/>
                              </w:rPr>
                              <w:t xml:space="preserve">No </w:t>
                            </w:r>
                          </w:p>
                        </w:tc>
                      </w:tr>
                    </w:tbl>
                    <w:p>
                      <w:pPr>
                        <w:pStyle w:val="NoSpacing"/>
                        <w:ind w:left="142" w:right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FrameContents"/>
                        <w:ind w:left="142" w:right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sz w:val="24"/>
                          <w:szCs w:val="24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tbl>
      <w:tblPr>
        <w:tblW w:w="94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5"/>
      </w:tblGrid>
      <w:tr>
        <w:trPr/>
        <w:tc>
          <w:tcPr>
            <w:tcW w:w="9475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shd w:fill="FFE599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</w:rPr>
              <w:t>What’s the post, and what are we looking for?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</w:rPr>
              <w:t>If you relish a challenge and enjoy working with people who have a learning disability and or autism, then you may be the person we are looking for. We are a friendly, progressive community based service supporting people who have learning disabilities and autism to live as independent life as is possible within the community.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</w:rPr>
            </w:r>
          </w:p>
        </w:tc>
      </w:tr>
      <w:tr>
        <w:trPr>
          <w:trHeight w:val="4492" w:hRule="atLeast"/>
        </w:trPr>
        <w:tc>
          <w:tcPr>
            <w:tcW w:w="9475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Calibri" w:cs="Arial"/>
                <w:b/>
                <w:sz w:val="22"/>
                <w:szCs w:val="22"/>
                <w:u w:val="single"/>
              </w:rPr>
            </w:pPr>
            <w:r>
              <w:rPr>
                <w:rFonts w:eastAsia="Calibri" w:cs="Arial" w:ascii="Arial" w:hAnsi="Arial"/>
                <w:b/>
                <w:sz w:val="22"/>
                <w:szCs w:val="22"/>
                <w:u w:val="single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 w:before="0" w:after="0"/>
              <w:ind w:hanging="0"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The main duties and responsibilities are:-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hanging="721" w:left="721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1.</w:t>
              <w:tab/>
            </w:r>
            <w:r>
              <w:rPr>
                <w:rFonts w:cs="Arial" w:ascii="Arial" w:hAnsi="Arial"/>
                <w:b/>
                <w:bCs/>
                <w:sz w:val="22"/>
                <w:szCs w:val="22"/>
                <w:u w:val="single"/>
              </w:rPr>
              <w:t>Assessment: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To assess individuals’ needs with an emphasis on early intervention and            prevention, including those with more complex needs, in accordance with Section 9 and 10 of the Care Act 2014. To engage the customer and carer in the process and to be accountable for your own practice.</w:t>
            </w:r>
          </w:p>
          <w:p>
            <w:pPr>
              <w:pStyle w:val="Normal"/>
              <w:spacing w:lineRule="auto" w:line="240" w:before="0" w:after="0"/>
              <w:ind w:hanging="721" w:left="721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hanging="720" w:left="720" w:right="0"/>
              <w:jc w:val="both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2.</w:t>
            </w:r>
            <w:r>
              <w:rPr>
                <w:rFonts w:cs="Arial" w:ascii="Arial" w:hAnsi="Arial"/>
                <w:sz w:val="22"/>
                <w:szCs w:val="22"/>
              </w:rPr>
              <w:tab/>
            </w:r>
            <w:r>
              <w:rPr>
                <w:rFonts w:cs="Arial" w:ascii="Arial" w:hAnsi="Arial"/>
                <w:b/>
                <w:bCs/>
                <w:sz w:val="22"/>
                <w:szCs w:val="22"/>
                <w:u w:val="single"/>
              </w:rPr>
              <w:t>Care Planning:</w:t>
            </w:r>
            <w:r>
              <w:rPr>
                <w:rFonts w:cs="Arial" w:ascii="Arial" w:hAnsi="Arial"/>
                <w:sz w:val="22"/>
                <w:szCs w:val="22"/>
              </w:rPr>
              <w:t xml:space="preserve"> To produce support plans which are clearly linked to person-centred outcomes, determining what the department will be providing to meet the person’s needs and outcomes, taking account of eligible needs and identified risks.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ab/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3.</w:t>
              <w:tab/>
            </w:r>
            <w:r>
              <w:rPr>
                <w:rFonts w:cs="Arial" w:ascii="Arial" w:hAnsi="Arial"/>
                <w:b/>
                <w:bCs/>
                <w:sz w:val="22"/>
                <w:szCs w:val="22"/>
                <w:u w:val="single"/>
              </w:rPr>
              <w:t xml:space="preserve">Purchasing and Commissioning Care: </w:t>
            </w:r>
            <w:r>
              <w:rPr>
                <w:rFonts w:cs="Arial" w:ascii="Arial" w:hAnsi="Arial"/>
                <w:sz w:val="22"/>
                <w:szCs w:val="22"/>
              </w:rPr>
              <w:t xml:space="preserve">To implement support plans, which will involve identifying appropriate and approved services and agencies to deliver care and support, including working with the independent sector as appropriate within delegated powers.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4.</w:t>
              <w:tab/>
            </w:r>
            <w:r>
              <w:rPr>
                <w:rFonts w:cs="Arial" w:ascii="Arial" w:hAnsi="Arial"/>
                <w:b/>
                <w:bCs/>
                <w:sz w:val="22"/>
                <w:szCs w:val="22"/>
                <w:u w:val="single"/>
              </w:rPr>
              <w:t>Care Co-ordinating: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 xml:space="preserve">To provide ongoing support to those individuals who require support and advice more frequently, and to monitor the existing support plan. 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u w:val="single"/>
              </w:rPr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5.</w:t>
              <w:tab/>
            </w:r>
            <w:r>
              <w:rPr>
                <w:rFonts w:cs="Arial" w:ascii="Arial" w:hAnsi="Arial"/>
                <w:b/>
                <w:bCs/>
                <w:sz w:val="22"/>
                <w:szCs w:val="22"/>
                <w:u w:val="single"/>
              </w:rPr>
              <w:t>Working in Partnership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Arial" w:ascii="Arial" w:hAnsi="Arial"/>
                <w:sz w:val="22"/>
                <w:szCs w:val="22"/>
              </w:rPr>
              <w:t xml:space="preserve">To work in partnership with other agencies including health, education and housing.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u w:val="single"/>
              </w:rPr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6.</w:t>
              <w:tab/>
            </w:r>
            <w:r>
              <w:rPr>
                <w:rFonts w:cs="Arial" w:ascii="Arial" w:hAnsi="Arial"/>
                <w:b/>
                <w:bCs/>
                <w:sz w:val="22"/>
                <w:szCs w:val="22"/>
                <w:u w:val="single"/>
              </w:rPr>
              <w:t>Monitoring and Re Assessment</w:t>
            </w:r>
            <w:r>
              <w:rPr>
                <w:rFonts w:cs="Arial" w:ascii="Arial" w:hAnsi="Arial"/>
                <w:sz w:val="22"/>
                <w:szCs w:val="22"/>
              </w:rPr>
              <w:t xml:space="preserve">  To monitor changing need and to re-assess and adjust the support plan in accordance with desired outcomes.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7.</w:t>
              <w:tab/>
            </w:r>
            <w:r>
              <w:rPr>
                <w:rFonts w:cs="Arial" w:ascii="Arial" w:hAnsi="Arial"/>
                <w:sz w:val="22"/>
                <w:szCs w:val="22"/>
              </w:rPr>
              <w:t>Complying with Departmental policies and procedures and quality standards.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8.</w:t>
            </w:r>
            <w:r>
              <w:rPr>
                <w:rFonts w:cs="Arial" w:ascii="Arial" w:hAnsi="Arial"/>
                <w:sz w:val="22"/>
                <w:szCs w:val="22"/>
              </w:rPr>
              <w:tab/>
              <w:t xml:space="preserve">Working to the standards of the Service and the corporate standards on customer care and the Citizen’s charter. 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ab/>
              <w:tab/>
              <w:tab/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9.</w:t>
              <w:tab/>
            </w:r>
            <w:r>
              <w:rPr>
                <w:rFonts w:cs="Arial" w:ascii="Arial" w:hAnsi="Arial"/>
                <w:sz w:val="22"/>
                <w:szCs w:val="22"/>
              </w:rPr>
              <w:t>Exercising decision making with reference to eligibility, criteria and prioritising of work.</w:t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10.</w:t>
              <w:tab/>
            </w:r>
            <w:r>
              <w:rPr>
                <w:rFonts w:cs="Arial" w:ascii="Arial" w:hAnsi="Arial"/>
                <w:b/>
                <w:bCs/>
                <w:sz w:val="22"/>
                <w:szCs w:val="22"/>
                <w:u w:val="single"/>
              </w:rPr>
              <w:t>Supervision Policy</w:t>
            </w:r>
            <w:r>
              <w:rPr>
                <w:rFonts w:cs="Arial" w:ascii="Arial" w:hAnsi="Arial"/>
                <w:sz w:val="22"/>
                <w:szCs w:val="22"/>
              </w:rPr>
              <w:tab/>
              <w:t>To engage in regular supervision and to develop an annual training plan based on individual needs.</w:t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11.</w:t>
              <w:tab/>
            </w:r>
            <w:r>
              <w:rPr>
                <w:rFonts w:cs="Arial" w:ascii="Arial" w:hAnsi="Arial"/>
                <w:sz w:val="22"/>
                <w:szCs w:val="22"/>
              </w:rPr>
              <w:t>To help develop the service and assist in continuous improvement programmes.</w:t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ab/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12.</w:t>
            </w:r>
            <w:r>
              <w:rPr>
                <w:rFonts w:cs="Arial" w:ascii="Arial" w:hAnsi="Arial"/>
                <w:sz w:val="22"/>
                <w:szCs w:val="22"/>
              </w:rPr>
              <w:tab/>
              <w:t>To maintain accurate records using the LAS system and ESCR which will require IT and keyboard skills.</w:t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13.</w:t>
            </w:r>
            <w:r>
              <w:rPr>
                <w:rFonts w:cs="Arial" w:ascii="Arial" w:hAnsi="Arial"/>
                <w:sz w:val="22"/>
                <w:szCs w:val="22"/>
              </w:rPr>
              <w:tab/>
              <w:t>To collaborate with colleagues to ensure the most efficient delivery of services across all teams and areas within Adult Social Care.</w:t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76" w:before="0" w:after="120"/>
              <w:jc w:val="both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14.</w:t>
            </w:r>
            <w:r>
              <w:rPr>
                <w:rFonts w:cs="Arial" w:ascii="Arial" w:hAnsi="Arial"/>
                <w:sz w:val="22"/>
                <w:szCs w:val="22"/>
              </w:rPr>
              <w:tab/>
              <w:t>Any other duties as the Department or the Service develops</w:t>
            </w:r>
          </w:p>
          <w:p>
            <w:pPr>
              <w:pStyle w:val="NoSpacing"/>
              <w:spacing w:lineRule="auto" w:line="240" w:before="0" w:after="0"/>
              <w:jc w:val="both"/>
              <w:rPr>
                <w:rFonts w:ascii="Arial" w:hAnsi="Arial" w:eastAsia="Calibri" w:cs="Arial"/>
                <w:b/>
                <w:u w:val="single"/>
              </w:rPr>
            </w:pPr>
            <w:r>
              <w:rPr>
                <w:rFonts w:eastAsia="Calibri" w:cs="Arial" w:ascii="Arial" w:hAnsi="Arial"/>
                <w:b/>
                <w:u w:val="single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Arial" w:hAnsi="Arial" w:eastAsia="Calibri" w:cs="Arial"/>
          <w:b/>
        </w:rPr>
      </w:pPr>
      <w:r>
        <w:rPr>
          <w:rFonts w:eastAsia="Calibri" w:cs="Arial" w:ascii="Arial" w:hAnsi="Arial"/>
          <w:b/>
        </w:rPr>
      </w:r>
    </w:p>
    <w:p>
      <w:pPr>
        <w:pStyle w:val="Normal"/>
        <w:spacing w:lineRule="auto" w:line="276"/>
        <w:jc w:val="both"/>
        <w:rPr>
          <w:rFonts w:ascii="Arial" w:hAnsi="Arial" w:eastAsia="Calibri" w:cs="Arial"/>
          <w:b/>
        </w:rPr>
      </w:pPr>
      <w:r>
        <w:rPr>
          <w:rFonts w:eastAsia="Calibri" w:cs="Arial" w:ascii="Arial" w:hAnsi="Arial"/>
          <w:b/>
        </w:rPr>
        <w:drawing>
          <wp:anchor behindDoc="1" distT="0" distB="0" distL="114300" distR="114300" simplePos="0" locked="0" layoutInCell="0" allowOverlap="1" relativeHeight="4">
            <wp:simplePos x="0" y="0"/>
            <wp:positionH relativeFrom="margin">
              <wp:posOffset>-511810</wp:posOffset>
            </wp:positionH>
            <wp:positionV relativeFrom="margin">
              <wp:posOffset>-702310</wp:posOffset>
            </wp:positionV>
            <wp:extent cx="7117080" cy="647065"/>
            <wp:effectExtent l="0" t="0" r="0" b="0"/>
            <wp:wrapSquare wrapText="bothSides"/>
            <wp:docPr id="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23374" t="84926" r="25679" b="6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975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8"/>
      </w:tblGrid>
      <w:tr>
        <w:trPr>
          <w:trHeight w:val="265" w:hRule="atLeast"/>
        </w:trPr>
        <w:tc>
          <w:tcPr>
            <w:tcW w:w="9758" w:type="dxa"/>
            <w:tcBorders>
              <w:top w:val="single" w:sz="18" w:space="0" w:color="70AD47"/>
              <w:left w:val="single" w:sz="18" w:space="0" w:color="70AD47"/>
              <w:bottom w:val="single" w:sz="18" w:space="0" w:color="70AD47"/>
              <w:right w:val="single" w:sz="18" w:space="0" w:color="70AD47"/>
            </w:tcBorders>
            <w:shd w:fill="C5E0B3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</w:rPr>
              <w:t>About you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</w:rPr>
            </w:r>
          </w:p>
        </w:tc>
      </w:tr>
      <w:tr>
        <w:trPr>
          <w:trHeight w:val="3931" w:hRule="atLeast"/>
        </w:trPr>
        <w:tc>
          <w:tcPr>
            <w:tcW w:w="9758" w:type="dxa"/>
            <w:tcBorders>
              <w:top w:val="single" w:sz="18" w:space="0" w:color="70AD47"/>
              <w:left w:val="single" w:sz="18" w:space="0" w:color="70AD47"/>
              <w:bottom w:val="single" w:sz="18" w:space="0" w:color="70AD47"/>
              <w:right w:val="single" w:sz="18" w:space="0" w:color="70AD47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</w:rPr>
              <w:t>Your essential qualifications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</w:rPr>
            </w:r>
          </w:p>
          <w:p>
            <w:pPr>
              <w:pStyle w:val="NoSpacing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                  </w:t>
            </w:r>
            <w:r>
              <w:rPr>
                <w:rFonts w:cs="Arial" w:ascii="Arial" w:hAnsi="Arial"/>
                <w:sz w:val="20"/>
                <w:szCs w:val="20"/>
              </w:rPr>
              <w:t xml:space="preserve">Professional Social Work Qualification – Social Work Degree or DipSW         </w:t>
            </w:r>
          </w:p>
          <w:p>
            <w:pPr>
              <w:pStyle w:val="NoSpacing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ab/>
              <w:t xml:space="preserve">      Full current UK driving licence and a car available in order to fulfil the duties of the post                                                               </w:t>
            </w:r>
          </w:p>
          <w:p>
            <w:pPr>
              <w:pStyle w:val="NoSpacing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                  </w:t>
            </w:r>
            <w:r>
              <w:rPr>
                <w:rFonts w:cs="Arial" w:ascii="Arial" w:hAnsi="Arial"/>
                <w:sz w:val="20"/>
                <w:szCs w:val="20"/>
              </w:rPr>
              <w:t xml:space="preserve">Registration with professional regulator– Social Work England              </w:t>
            </w:r>
          </w:p>
          <w:p>
            <w:pPr>
              <w:pStyle w:val="NoSpacing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Your essential skills, knowledge and experience</w:t>
            </w:r>
          </w:p>
          <w:p>
            <w:pPr>
              <w:pStyle w:val="Normal"/>
              <w:spacing w:lineRule="auto" w:line="240" w:before="0" w:after="0"/>
              <w:ind w:hanging="720" w:left="720" w:right="0"/>
              <w:rPr/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         </w:t>
            </w:r>
            <w:r>
              <w:rPr>
                <w:rFonts w:cs="Arial" w:ascii="Arial" w:hAnsi="Arial"/>
                <w:sz w:val="22"/>
                <w:szCs w:val="22"/>
              </w:rPr>
              <w:tab/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ab/>
              <w:tab/>
              <w:tab/>
              <w:t xml:space="preserve"> 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communicate effectively with a wide range of people</w:t>
              <w:tab/>
              <w:t xml:space="preserve">             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gather information</w:t>
              <w:tab/>
              <w:tab/>
              <w:tab/>
              <w:tab/>
              <w:tab/>
              <w:tab/>
              <w:t xml:space="preserve"> 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make judgements supported by sound evidence</w:t>
              <w:tab/>
              <w:tab/>
              <w:t xml:space="preserve">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work in situations of conflict</w:t>
              <w:tab/>
              <w:tab/>
              <w:tab/>
              <w:tab/>
              <w:tab/>
              <w:t xml:space="preserve">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prioritise</w:t>
              <w:tab/>
              <w:tab/>
              <w:tab/>
              <w:tab/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work on own initiative</w:t>
              <w:tab/>
              <w:tab/>
              <w:tab/>
              <w:tab/>
              <w:tab/>
              <w:tab/>
              <w:t xml:space="preserve">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work as part of a team</w:t>
              <w:tab/>
              <w:t xml:space="preserve"> </w:t>
              <w:tab/>
              <w:tab/>
              <w:tab/>
              <w:tab/>
              <w:tab/>
              <w:t xml:space="preserve">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work to deadlines</w:t>
              <w:tab/>
              <w:tab/>
              <w:tab/>
              <w:tab/>
              <w:t xml:space="preserve"> 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represent the views and wishes of service users and/or carers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implement relevant procedures</w:t>
              <w:tab/>
              <w:tab/>
              <w:tab/>
              <w:tab/>
              <w:t xml:space="preserve"> 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practice in an anti-oppressive manner</w:t>
              <w:tab/>
              <w:tab/>
              <w:tab/>
              <w:tab/>
              <w:t xml:space="preserve"> 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Ability to make effective use of supervision</w:t>
              <w:tab/>
              <w:tab/>
              <w:tab/>
              <w:tab/>
              <w:t xml:space="preserve"> 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eastAsia="Calibri" w:cs="Arial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Arial" w:ascii="Arial" w:hAnsi="Arial"/>
                <w:iCs/>
                <w:color w:val="000000"/>
                <w:sz w:val="22"/>
                <w:szCs w:val="22"/>
              </w:rPr>
              <w:t xml:space="preserve">Ability to fulfil all spoken aspects of the role with confidence through        </w:t>
            </w:r>
          </w:p>
          <w:p>
            <w:pPr>
              <w:pStyle w:val="Normal"/>
              <w:spacing w:lineRule="auto" w:line="276" w:before="0" w:after="200"/>
              <w:ind w:left="1146" w:right="0"/>
              <w:contextualSpacing/>
              <w:rPr/>
            </w:pPr>
            <w:r>
              <w:rPr>
                <w:rFonts w:eastAsia="Calibri" w:cs="Arial" w:ascii="Arial" w:hAnsi="Arial"/>
                <w:iCs/>
                <w:color w:val="000000"/>
                <w:sz w:val="22"/>
                <w:szCs w:val="22"/>
              </w:rPr>
              <w:t>the medium of English</w:t>
            </w:r>
            <w:r>
              <w:rPr>
                <w:rFonts w:cs="Arial" w:ascii="Arial" w:hAnsi="Arial"/>
                <w:sz w:val="22"/>
                <w:szCs w:val="22"/>
              </w:rPr>
              <w:tab/>
              <w:t xml:space="preserve"> </w:t>
              <w:tab/>
              <w:t xml:space="preserve">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Negotiation skills</w:t>
              <w:tab/>
            </w:r>
          </w:p>
          <w:p>
            <w:pPr>
              <w:pStyle w:val="Normal"/>
              <w:spacing w:lineRule="auto" w:line="276" w:before="0" w:after="200"/>
              <w:ind w:left="1146" w:right="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Good written and analytical skills </w:t>
            </w:r>
          </w:p>
          <w:p>
            <w:pPr>
              <w:pStyle w:val="Normal"/>
              <w:spacing w:lineRule="auto" w:line="276" w:before="0" w:after="200"/>
              <w:ind w:left="1146" w:right="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Organisational skills</w:t>
              <w:tab/>
            </w:r>
          </w:p>
          <w:p>
            <w:pPr>
              <w:pStyle w:val="Normal"/>
              <w:spacing w:lineRule="auto" w:line="240" w:before="0" w:after="0"/>
              <w:ind w:left="1004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Knowledge of equal opportunities/anti-oppressive policies</w:t>
              <w:tab/>
              <w:tab/>
              <w:t xml:space="preserve">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Knowledge of relevant legislation</w:t>
              <w:tab/>
              <w:tab/>
              <w:tab/>
              <w:tab/>
              <w:t xml:space="preserve"> </w:t>
              <w:tab/>
              <w:t xml:space="preserve">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Knowledge of available resources</w:t>
              <w:tab/>
              <w:tab/>
              <w:tab/>
              <w:tab/>
              <w:tab/>
              <w:t xml:space="preserve">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Knowledge of relevant policies and procedures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Knowledge relevant to learning disabilities and autism</w:t>
              <w:tab/>
              <w:tab/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ab/>
              <w:t xml:space="preserve">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Experience of working directly with people and carers, including people with learning disabilities and/or autism</w:t>
              <w:tab/>
              <w:tab/>
              <w:t xml:space="preserve">    </w:t>
            </w:r>
          </w:p>
          <w:p>
            <w:pPr>
              <w:pStyle w:val="Normal"/>
              <w:spacing w:lineRule="auto" w:line="240" w:before="0" w:after="0"/>
              <w:ind w:left="1146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Understanding of the assessment, care planning and care co-ordination process Understanding the benefits and uses of supervision</w:t>
              <w:tab/>
              <w:tab/>
              <w:tab/>
              <w:t xml:space="preserve">    </w:t>
              <w:tab/>
            </w:r>
          </w:p>
          <w:p>
            <w:pPr>
              <w:pStyle w:val="Normal"/>
              <w:spacing w:lineRule="auto" w:line="240" w:before="0" w:after="0"/>
              <w:ind w:left="1004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ind w:left="1004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ab/>
              <w:tab/>
              <w:tab/>
              <w:tab/>
              <w:tab/>
              <w:t xml:space="preserve">    </w:t>
            </w:r>
          </w:p>
          <w:p>
            <w:pPr>
              <w:pStyle w:val="Normal"/>
              <w:spacing w:lineRule="auto" w:line="240" w:before="0" w:after="0"/>
              <w:ind w:left="720" w:righ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Spacing"/>
              <w:spacing w:lineRule="auto" w:line="240" w:before="0"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If you have the following experience or qualifications – then that’s great!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Calibri" w:cs="Arial"/>
              </w:rPr>
            </w:pPr>
            <w:r>
              <w:rPr>
                <w:rFonts w:eastAsia="Calibri" w:cs="Arial" w:ascii="Arial" w:hAnsi="Arial"/>
              </w:rPr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</w:rPr>
              <w:t>Post qualifying experience of the relevant service area</w:t>
            </w:r>
          </w:p>
          <w:p>
            <w:pPr>
              <w:pStyle w:val="Normal"/>
              <w:spacing w:lineRule="auto" w:line="240" w:before="0" w:after="0"/>
              <w:ind w:left="360" w:right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ind w:left="720" w:right="0"/>
              <w:rPr>
                <w:rFonts w:ascii="Arial" w:hAnsi="Arial" w:eastAsia="Calibri" w:cs="Arial"/>
                <w:b/>
              </w:rPr>
            </w:pPr>
            <w:r>
              <w:rPr>
                <w:rFonts w:eastAsia="Calibri" w:cs="Arial" w:ascii="Arial" w:hAnsi="Arial"/>
                <w:b/>
              </w:rPr>
            </w:r>
          </w:p>
        </w:tc>
      </w:tr>
    </w:tbl>
    <w:p>
      <w:pPr>
        <w:pStyle w:val="Normal"/>
        <w:tabs>
          <w:tab w:val="clear" w:pos="720"/>
          <w:tab w:val="center" w:pos="4513" w:leader="none"/>
        </w:tabs>
        <w:jc w:val="center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</w:r>
    </w:p>
    <w:p>
      <w:pPr>
        <w:pStyle w:val="Normal"/>
        <w:tabs>
          <w:tab w:val="clear" w:pos="720"/>
          <w:tab w:val="center" w:pos="4513" w:leader="none"/>
        </w:tabs>
        <w:jc w:val="center"/>
        <w:rPr>
          <w:rFonts w:ascii="Arial" w:hAnsi="Arial" w:eastAsia="Calibri" w:cs="Arial"/>
          <w:b/>
          <w:sz w:val="22"/>
          <w:szCs w:val="22"/>
        </w:rPr>
      </w:pPr>
      <w:r>
        <w:rPr>
          <w:rFonts w:eastAsia="Calibri" w:cs="Arial" w:ascii="Arial" w:hAnsi="Arial"/>
          <w:b/>
          <w:sz w:val="22"/>
          <w:szCs w:val="22"/>
        </w:rPr>
        <w:t>Our employees’ skills, experience and knowledge are essential to our success along with their happiness, commitment, enthusiasm and motivation to be the best they can be.</w:t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mc:AlternateContent>
          <mc:Choice Requires="wps">
            <w:drawing>
              <wp:anchor behindDoc="0" distT="0" distB="0" distL="114935" distR="114935" simplePos="0" locked="0" layoutInCell="0" allowOverlap="1" relativeHeight="13">
                <wp:simplePos x="0" y="0"/>
                <wp:positionH relativeFrom="margin">
                  <wp:posOffset>-152400</wp:posOffset>
                </wp:positionH>
                <wp:positionV relativeFrom="paragraph">
                  <wp:posOffset>180975</wp:posOffset>
                </wp:positionV>
                <wp:extent cx="6276975" cy="1943100"/>
                <wp:effectExtent l="12700" t="12700" r="12700" b="12700"/>
                <wp:wrapNone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60" cy="1943280"/>
                        </a:xfrm>
                        <a:prstGeom prst="rect">
                          <a:avLst/>
                        </a:prstGeom>
                        <a:solidFill>
                          <a:srgbClr val="ff99ff">
                            <a:alpha val="45000"/>
                          </a:srgbClr>
                        </a:solidFill>
                        <a:ln w="25560">
                          <a:solidFill>
                            <a:srgbClr val="ff0066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ff99ff" stroked="t" o:allowincell="f" style="position:absolute;margin-left:-12pt;margin-top:14.25pt;width:494.2pt;height:152.95pt;mso-wrap-style:none;v-text-anchor:middle;mso-position-horizontal-relative:margin" type="_x0000_t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v:fill o:detectmouseclick="t" type="solid" color2="#006600" opacity="0.44"/>
                <v:stroke color="#ff0066" weight="25560" joinstyle="round" endcap="flat"/>
                <w10:wrap type="none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28575" simplePos="0" locked="0" layoutInCell="0" allowOverlap="1" relativeHeight="15">
                <wp:simplePos x="0" y="0"/>
                <wp:positionH relativeFrom="margin">
                  <wp:posOffset>-152400</wp:posOffset>
                </wp:positionH>
                <wp:positionV relativeFrom="paragraph">
                  <wp:posOffset>180975</wp:posOffset>
                </wp:positionV>
                <wp:extent cx="6276975" cy="1943100"/>
                <wp:effectExtent l="0" t="0" r="0" b="0"/>
                <wp:wrapNone/>
                <wp:docPr id="6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19431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spacing w:before="0" w:after="280"/>
                              <w:textAlignment w:val="top"/>
                              <w:rPr>
                                <w:rFonts w:ascii="Arial" w:hAnsi="Arial" w:cs="Arial"/>
                                <w:b/>
                                <w:bCs/>
                                <w:lang w:eastAsia="en-GB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lang w:eastAsia="en-GB"/>
                              </w:rPr>
                              <w:t>What can you expect from us?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spacing w:before="280" w:after="0"/>
                              <w:textAlignment w:val="top"/>
                              <w:rPr/>
                            </w:pPr>
                            <w:r>
                              <w:rPr>
                                <w:rFonts w:cs="Arial" w:ascii="Arial" w:hAnsi="Arial"/>
                                <w:lang w:eastAsia="en-GB"/>
                              </w:rPr>
                              <w:t>A fair salary and benefits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spacing w:before="0" w:after="0"/>
                              <w:textAlignment w:val="top"/>
                              <w:rPr/>
                            </w:pPr>
                            <w:r>
                              <w:rPr>
                                <w:rFonts w:cs="Arial" w:ascii="Arial" w:hAnsi="Arial"/>
                                <w:lang w:eastAsia="en-GB"/>
                              </w:rPr>
                              <w:t>Opportunities for good health and wellbeing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spacing w:before="0" w:after="0"/>
                              <w:textAlignment w:val="top"/>
                              <w:rPr/>
                            </w:pPr>
                            <w:r>
                              <w:rPr>
                                <w:rFonts w:cs="Arial" w:ascii="Arial" w:hAnsi="Arial"/>
                                <w:lang w:eastAsia="en-GB"/>
                              </w:rPr>
                              <w:t>Help you to grow, develop and to do your best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spacing w:before="0" w:after="0"/>
                              <w:textAlignment w:val="top"/>
                              <w:rPr/>
                            </w:pPr>
                            <w:r>
                              <w:rPr>
                                <w:rFonts w:cs="Arial" w:ascii="Arial" w:hAnsi="Arial"/>
                                <w:lang w:eastAsia="en-GB"/>
                              </w:rPr>
                              <w:t>Enable you to be creative and innovative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spacing w:before="0" w:after="0"/>
                              <w:textAlignment w:val="top"/>
                              <w:rPr/>
                            </w:pPr>
                            <w:r>
                              <w:rPr>
                                <w:rFonts w:cs="Arial" w:ascii="Arial" w:hAnsi="Arial"/>
                                <w:lang w:eastAsia="en-GB"/>
                              </w:rPr>
                              <w:t>Fully involve you in changes that affect you and your work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spacing w:before="0" w:after="280"/>
                              <w:textAlignment w:val="top"/>
                              <w:rPr/>
                            </w:pPr>
                            <w:r>
                              <w:rPr>
                                <w:rFonts w:cs="Arial" w:ascii="Arial" w:hAnsi="Arial"/>
                                <w:lang w:eastAsia="en-GB"/>
                              </w:rPr>
                              <w:t>Listen, and act on your ideas and feedback</w:t>
                            </w:r>
                          </w:p>
                          <w:p>
                            <w:pPr>
                              <w:pStyle w:val="FrameContents"/>
                              <w:spacing w:before="280" w:after="0"/>
                              <w:textAlignment w:val="top"/>
                              <w:rPr>
                                <w:rFonts w:ascii="Arial" w:hAnsi="Arial" w:cs="Arial"/>
                                <w:b/>
                                <w:lang w:eastAsia="en-GB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lang w:eastAsia="en-GB"/>
                              </w:rPr>
                              <w:t xml:space="preserve">Working together, we are proud to work for Tameside &amp; Glossop </w:t>
                            </w:r>
                          </w:p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494.25pt;height:153pt;mso-wrap-distance-left:0pt;mso-wrap-distance-right:2.25pt;mso-wrap-distance-top:5.7pt;mso-wrap-distance-bottom:5.7pt;margin-top:14.25pt;mso-position-vertical-relative:text;margin-left:-12pt;mso-position-horizontal-relative:margin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spacing w:before="0" w:after="280"/>
                        <w:textAlignment w:val="top"/>
                        <w:rPr>
                          <w:rFonts w:ascii="Arial" w:hAnsi="Arial" w:cs="Arial"/>
                          <w:b/>
                          <w:bCs/>
                          <w:lang w:eastAsia="en-GB"/>
                        </w:rPr>
                      </w:pPr>
                      <w:r>
                        <w:rPr>
                          <w:rFonts w:cs="Arial" w:ascii="Arial" w:hAnsi="Arial"/>
                          <w:b/>
                          <w:bCs/>
                          <w:lang w:eastAsia="en-GB"/>
                        </w:rPr>
                        <w:t>What can you expect from us?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spacing w:before="280" w:after="0"/>
                        <w:textAlignment w:val="top"/>
                        <w:rPr/>
                      </w:pPr>
                      <w:r>
                        <w:rPr>
                          <w:rFonts w:cs="Arial" w:ascii="Arial" w:hAnsi="Arial"/>
                          <w:lang w:eastAsia="en-GB"/>
                        </w:rPr>
                        <w:t>A fair salary and benefits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spacing w:before="0" w:after="0"/>
                        <w:textAlignment w:val="top"/>
                        <w:rPr/>
                      </w:pPr>
                      <w:r>
                        <w:rPr>
                          <w:rFonts w:cs="Arial" w:ascii="Arial" w:hAnsi="Arial"/>
                          <w:lang w:eastAsia="en-GB"/>
                        </w:rPr>
                        <w:t>Opportunities for good health and wellbeing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spacing w:before="0" w:after="0"/>
                        <w:textAlignment w:val="top"/>
                        <w:rPr/>
                      </w:pPr>
                      <w:r>
                        <w:rPr>
                          <w:rFonts w:cs="Arial" w:ascii="Arial" w:hAnsi="Arial"/>
                          <w:lang w:eastAsia="en-GB"/>
                        </w:rPr>
                        <w:t>Help you to grow, develop and to do your best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spacing w:before="0" w:after="0"/>
                        <w:textAlignment w:val="top"/>
                        <w:rPr/>
                      </w:pPr>
                      <w:r>
                        <w:rPr>
                          <w:rFonts w:cs="Arial" w:ascii="Arial" w:hAnsi="Arial"/>
                          <w:lang w:eastAsia="en-GB"/>
                        </w:rPr>
                        <w:t>Enable you to be creative and innovative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spacing w:before="0" w:after="0"/>
                        <w:textAlignment w:val="top"/>
                        <w:rPr/>
                      </w:pPr>
                      <w:r>
                        <w:rPr>
                          <w:rFonts w:cs="Arial" w:ascii="Arial" w:hAnsi="Arial"/>
                          <w:lang w:eastAsia="en-GB"/>
                        </w:rPr>
                        <w:t>Fully involve you in changes that affect you and your work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spacing w:before="0" w:after="280"/>
                        <w:textAlignment w:val="top"/>
                        <w:rPr/>
                      </w:pPr>
                      <w:r>
                        <w:rPr>
                          <w:rFonts w:cs="Arial" w:ascii="Arial" w:hAnsi="Arial"/>
                          <w:lang w:eastAsia="en-GB"/>
                        </w:rPr>
                        <w:t>Listen, and act on your ideas and feedback</w:t>
                      </w:r>
                    </w:p>
                    <w:p>
                      <w:pPr>
                        <w:pStyle w:val="FrameContents"/>
                        <w:spacing w:before="280" w:after="0"/>
                        <w:textAlignment w:val="top"/>
                        <w:rPr>
                          <w:rFonts w:ascii="Arial" w:hAnsi="Arial" w:cs="Arial"/>
                          <w:b/>
                          <w:lang w:eastAsia="en-GB"/>
                        </w:rPr>
                      </w:pPr>
                      <w:r>
                        <w:rPr>
                          <w:rFonts w:cs="Arial" w:ascii="Arial" w:hAnsi="Arial"/>
                          <w:b/>
                          <w:lang w:eastAsia="en-GB"/>
                        </w:rPr>
                        <w:t xml:space="preserve">Working together, we are proud to work for Tameside &amp; Glossop 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/>
      </w:pPr>
      <w:r>
        <w:drawing>
          <wp:anchor behindDoc="1" distT="0" distB="0" distL="114300" distR="114300" simplePos="0" locked="0" layoutInCell="0" allowOverlap="1" relativeHeight="5">
            <wp:simplePos x="0" y="0"/>
            <wp:positionH relativeFrom="margin">
              <wp:posOffset>-513080</wp:posOffset>
            </wp:positionH>
            <wp:positionV relativeFrom="margin">
              <wp:posOffset>-696595</wp:posOffset>
            </wp:positionV>
            <wp:extent cx="7117080" cy="647065"/>
            <wp:effectExtent l="0" t="0" r="0" b="0"/>
            <wp:wrapSquare wrapText="bothSides"/>
            <wp:docPr id="7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3374" t="84926" r="25679" b="6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Arial" w:ascii="Arial" w:hAnsi="Arial"/>
          <w:sz w:val="22"/>
          <w:szCs w:val="22"/>
        </w:rPr>
        <w:t xml:space="preserve">Our </w:t>
      </w:r>
      <w:r>
        <w:rPr>
          <w:rFonts w:eastAsia="Calibri" w:cs="Arial" w:ascii="Arial" w:hAnsi="Arial"/>
          <w:b/>
          <w:color w:val="0070C0"/>
          <w:sz w:val="22"/>
          <w:szCs w:val="22"/>
        </w:rPr>
        <w:t>S</w:t>
      </w:r>
      <w:r>
        <w:rPr>
          <w:rFonts w:eastAsia="Calibri" w:cs="Arial" w:ascii="Arial" w:hAnsi="Arial"/>
          <w:b/>
          <w:color w:val="FF3399"/>
          <w:sz w:val="22"/>
          <w:szCs w:val="22"/>
        </w:rPr>
        <w:t>T</w:t>
      </w:r>
      <w:r>
        <w:rPr>
          <w:rFonts w:eastAsia="Calibri" w:cs="Arial" w:ascii="Arial" w:hAnsi="Arial"/>
          <w:b/>
          <w:color w:val="00B0F0"/>
          <w:sz w:val="22"/>
          <w:szCs w:val="22"/>
        </w:rPr>
        <w:t>R</w:t>
      </w:r>
      <w:r>
        <w:rPr>
          <w:rFonts w:eastAsia="Calibri" w:cs="Arial" w:ascii="Arial" w:hAnsi="Arial"/>
          <w:b/>
          <w:color w:val="92D050"/>
          <w:sz w:val="22"/>
          <w:szCs w:val="22"/>
        </w:rPr>
        <w:t>I</w:t>
      </w:r>
      <w:r>
        <w:rPr>
          <w:rFonts w:eastAsia="Calibri" w:cs="Arial" w:ascii="Arial" w:hAnsi="Arial"/>
          <w:b/>
          <w:color w:val="FFD966"/>
          <w:sz w:val="22"/>
          <w:szCs w:val="22"/>
        </w:rPr>
        <w:t>V</w:t>
      </w:r>
      <w:r>
        <w:rPr>
          <w:rFonts w:eastAsia="Calibri" w:cs="Arial" w:ascii="Arial" w:hAnsi="Arial"/>
          <w:b/>
          <w:color w:val="FFC000"/>
          <w:sz w:val="22"/>
          <w:szCs w:val="22"/>
        </w:rPr>
        <w:t>E</w:t>
      </w:r>
      <w:r>
        <w:rPr>
          <w:rFonts w:eastAsia="Calibri" w:cs="Arial" w:ascii="Arial" w:hAnsi="Arial"/>
          <w:sz w:val="22"/>
          <w:szCs w:val="22"/>
        </w:rPr>
        <w:t xml:space="preserve"> values underpin our practice and behaviours and are at the heart of everything that we do:</w:t>
      </w:r>
    </w:p>
    <w:p>
      <w:pPr>
        <w:pStyle w:val="Normal"/>
        <w:spacing w:lineRule="auto" w:line="276"/>
        <w:jc w:val="center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mc:AlternateContent>
          <mc:Choice Requires="wps">
            <w:drawing>
              <wp:anchor behindDoc="0" distT="0" distB="0" distL="114935" distR="114935" simplePos="0" locked="0" layoutInCell="1" allowOverlap="1" relativeHeight="7">
                <wp:simplePos x="0" y="0"/>
                <wp:positionH relativeFrom="column">
                  <wp:posOffset>-19050</wp:posOffset>
                </wp:positionH>
                <wp:positionV relativeFrom="paragraph">
                  <wp:posOffset>1905</wp:posOffset>
                </wp:positionV>
                <wp:extent cx="2933700" cy="1133475"/>
                <wp:effectExtent l="19050" t="19050" r="19050" b="19050"/>
                <wp:wrapNone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640" cy="1133640"/>
                        </a:xfrm>
                        <a:prstGeom prst="rect">
                          <a:avLst/>
                        </a:prstGeom>
                        <a:solidFill>
                          <a:srgbClr val="558ed5"/>
                        </a:solidFill>
                        <a:ln cap="rnd" w="38160">
                          <a:solidFill>
                            <a:srgbClr val="8eb4e3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558ed5" stroked="t" o:allowincell="f" style="position:absolute;margin-left:-1.5pt;margin-top:0.15pt;width:230.95pt;height:89.2pt;mso-wrap-style:none;v-text-anchor:middle" type="_x0000_t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v:fill o:detectmouseclick="t" type="solid" color2="#aa712a"/>
                <v:stroke color="#8eb4e3" weight="38160" joinstyle="round" endcap="round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0" allowOverlap="1" relativeHeight="8">
                <wp:simplePos x="0" y="0"/>
                <wp:positionH relativeFrom="rightMargin">
                  <wp:posOffset>0</wp:posOffset>
                </wp:positionH>
                <wp:positionV relativeFrom="paragraph">
                  <wp:posOffset>20955</wp:posOffset>
                </wp:positionV>
                <wp:extent cx="2971800" cy="1104900"/>
                <wp:effectExtent l="19050" t="19050" r="19050" b="19050"/>
                <wp:wrapNone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104840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cap="rnd" w="38160">
                          <a:solidFill>
                            <a:srgbClr val="ff00ff"/>
                          </a:solidFill>
                          <a:beve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ff3399" stroked="t" o:allowincell="f" style="position:absolute;margin-left:0pt;margin-top:1.65pt;width:233.95pt;height:86.95pt;mso-wrap-style:none;v-text-anchor:middle;mso-position-horizontal-relative:page" type="_x0000_t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v:fill o:detectmouseclick="t" type="solid" color2="#00cc66"/>
                <v:stroke color="fuchsia" weight="38160" joinstyle="bevel" endcap="round"/>
                <w10:wrap type="none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19050" distR="19050" simplePos="0" locked="0" layoutInCell="0" allowOverlap="1" relativeHeight="16">
                <wp:simplePos x="0" y="0"/>
                <wp:positionH relativeFrom="rightMargin">
                  <wp:posOffset>0</wp:posOffset>
                </wp:positionH>
                <wp:positionV relativeFrom="paragraph">
                  <wp:posOffset>20955</wp:posOffset>
                </wp:positionV>
                <wp:extent cx="2971800" cy="1104900"/>
                <wp:effectExtent l="0" t="0" r="0" b="0"/>
                <wp:wrapNone/>
                <wp:docPr id="10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1049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/>
                              </w:rPr>
                              <w:t>TRUST</w:t>
                            </w:r>
                          </w:p>
                          <w:p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</w:rPr>
                              <w:t>Trust is placed in us and we have trust in those that lead us. We feel empowered to support our residents and communities.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34pt;height:87pt;mso-wrap-distance-left:1.5pt;mso-wrap-distance-right:1.5pt;mso-wrap-distance-top:5.7pt;mso-wrap-distance-bottom:5.7pt;margin-top:1.65pt;mso-position-vertical-relative:text;margin-left:0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/>
                        </w:rPr>
                        <w:t>TRUST</w:t>
                      </w:r>
                    </w:p>
                    <w:p>
                      <w:pPr>
                        <w:pStyle w:val="NoSpacing"/>
                        <w:jc w:val="both"/>
                        <w:rPr>
                          <w:rFonts w:ascii="Arial" w:hAnsi="Arial" w:cs="Arial"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</w:rPr>
                        <w:t>Trust is placed in us and we have trust in those that lead us. We feel empowered to support our residents and communities.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72390" distB="72390" distL="19050" distR="19050" simplePos="0" locked="0" layoutInCell="1" allowOverlap="1" relativeHeight="17">
                <wp:simplePos x="0" y="0"/>
                <wp:positionH relativeFrom="column">
                  <wp:posOffset>-19050</wp:posOffset>
                </wp:positionH>
                <wp:positionV relativeFrom="paragraph">
                  <wp:posOffset>1905</wp:posOffset>
                </wp:positionV>
                <wp:extent cx="2933700" cy="1133475"/>
                <wp:effectExtent l="0" t="0" r="0" b="0"/>
                <wp:wrapNone/>
                <wp:docPr id="11" name="Frame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3347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/>
                              </w:rPr>
                              <w:t>SUPPORT</w:t>
                            </w:r>
                          </w:p>
                          <w:p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</w:rPr>
                              <w:t xml:space="preserve">We work in a supportive environment and actively encourage supporting each other to bring about innovation, improvement and sustainability.  Good health and wellbeing is important to all of us. 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31pt;height:89.25pt;mso-wrap-distance-left:1.5pt;mso-wrap-distance-right:1.5pt;mso-wrap-distance-top:5.7pt;mso-wrap-distance-bottom:5.7pt;margin-top:0.15pt;mso-position-vertical-relative:text;margin-left:-1.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/>
                        </w:rPr>
                        <w:t>SUPPORT</w:t>
                      </w:r>
                    </w:p>
                    <w:p>
                      <w:pPr>
                        <w:pStyle w:val="NoSpacing"/>
                        <w:jc w:val="both"/>
                        <w:rPr>
                          <w:rFonts w:ascii="Arial" w:hAnsi="Arial" w:cs="Arial"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</w:rPr>
                        <w:t xml:space="preserve">We work in a supportive environment and actively encourage supporting each other to bring about innovation, improvement and sustainability.  Good health and wellbeing is important to all of us.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mc:AlternateContent>
          <mc:Choice Requires="wps">
            <w:drawing>
              <wp:anchor behindDoc="0" distT="0" distB="0" distL="114935" distR="114935" simplePos="0" locked="0" layoutInCell="1" allowOverlap="1" relativeHeight="9">
                <wp:simplePos x="0" y="0"/>
                <wp:positionH relativeFrom="column">
                  <wp:posOffset>-19050</wp:posOffset>
                </wp:positionH>
                <wp:positionV relativeFrom="paragraph">
                  <wp:posOffset>160655</wp:posOffset>
                </wp:positionV>
                <wp:extent cx="2943225" cy="1171575"/>
                <wp:effectExtent l="19050" t="19050" r="19050" b="19050"/>
                <wp:wrapNone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360" cy="11714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cap="rnd" w="38160">
                          <a:solidFill>
                            <a:srgbClr val="31859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00b0f0" stroked="t" o:allowincell="f" style="position:absolute;margin-left:-1.5pt;margin-top:12.65pt;width:231.7pt;height:92.2pt;mso-wrap-style:none;v-text-anchor:middle" type="_x0000_t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v:fill o:detectmouseclick="t" type="solid" color2="#ff4f0f"/>
                <v:stroke color="#31859c" weight="38160" joinstyle="round" endcap="round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0" allowOverlap="1" relativeHeight="12">
                <wp:simplePos x="0" y="0"/>
                <wp:positionH relativeFrom="page">
                  <wp:posOffset>4010025</wp:posOffset>
                </wp:positionH>
                <wp:positionV relativeFrom="paragraph">
                  <wp:posOffset>141605</wp:posOffset>
                </wp:positionV>
                <wp:extent cx="3019425" cy="1181100"/>
                <wp:effectExtent l="19050" t="19050" r="19050" b="19050"/>
                <wp:wrapNone/>
                <wp:docPr id="1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320" cy="118116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cap="rnd" w="38160">
                          <a:solidFill>
                            <a:srgbClr val="00b05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92d050" stroked="t" o:allowincell="f" style="position:absolute;margin-left:315.75pt;margin-top:11.15pt;width:237.7pt;height:92.95pt;mso-wrap-style:none;v-text-anchor:middle;mso-position-horizontal-relative:page" type="_x0000_t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v:fill o:detectmouseclick="t" type="solid" color2="#6d2faf"/>
                <v:stroke color="#00b050" weight="38160" joinstyle="round" endcap="round"/>
                <w10:wrap type="none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19050" distR="28575" simplePos="0" locked="0" layoutInCell="0" allowOverlap="1" relativeHeight="18">
                <wp:simplePos x="0" y="0"/>
                <wp:positionH relativeFrom="page">
                  <wp:posOffset>4010025</wp:posOffset>
                </wp:positionH>
                <wp:positionV relativeFrom="paragraph">
                  <wp:posOffset>141605</wp:posOffset>
                </wp:positionV>
                <wp:extent cx="3019425" cy="1181100"/>
                <wp:effectExtent l="0" t="0" r="0" b="0"/>
                <wp:wrapNone/>
                <wp:docPr id="14" name="Frame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11811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/>
                              </w:rPr>
                              <w:t>INTEGRITY</w:t>
                            </w:r>
                          </w:p>
                          <w:p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</w:rPr>
                              <w:t xml:space="preserve">We conduct ourselves and our services with honesty and fairness, modelling strong ethical and moral principles to ensure outcome driven results for our residents and communities. 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37.75pt;height:93pt;mso-wrap-distance-left:1.5pt;mso-wrap-distance-right:2.25pt;mso-wrap-distance-top:5.7pt;mso-wrap-distance-bottom:5.7pt;margin-top:11.15pt;mso-position-vertical-relative:text;margin-left:315.75pt;mso-position-horizontal-relative:page">
                <v:textbox inset="0.100694444444444in,0.0506944444444444in,0.100694444444444in,0.0506944444444444in">
                  <w:txbxContent>
                    <w:p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/>
                        </w:rPr>
                        <w:t>INTEGRITY</w:t>
                      </w:r>
                    </w:p>
                    <w:p>
                      <w:pPr>
                        <w:pStyle w:val="NoSpacing"/>
                        <w:jc w:val="both"/>
                        <w:rPr>
                          <w:rFonts w:ascii="Arial" w:hAnsi="Arial" w:cs="Arial"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</w:rPr>
                        <w:t xml:space="preserve">We conduct ourselves and our services with honesty and fairness, modelling strong ethical and moral principles to ensure outcome driven results for our residents and communities.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72390" distB="72390" distL="19050" distR="28575" simplePos="0" locked="0" layoutInCell="1" allowOverlap="1" relativeHeight="19">
                <wp:simplePos x="0" y="0"/>
                <wp:positionH relativeFrom="column">
                  <wp:posOffset>-19050</wp:posOffset>
                </wp:positionH>
                <wp:positionV relativeFrom="paragraph">
                  <wp:posOffset>160655</wp:posOffset>
                </wp:positionV>
                <wp:extent cx="2943225" cy="1171575"/>
                <wp:effectExtent l="0" t="0" r="0" b="0"/>
                <wp:wrapNone/>
                <wp:docPr id="15" name="Frame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117157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/>
                              </w:rPr>
                              <w:t>RESPECT</w:t>
                            </w:r>
                          </w:p>
                          <w:p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</w:rPr>
                              <w:t xml:space="preserve">We relate to others in ways that we want others to understand and relate to us. The behaviour that we model sets what we expect. 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31.75pt;height:92.25pt;mso-wrap-distance-left:1.5pt;mso-wrap-distance-right:2.25pt;mso-wrap-distance-top:5.7pt;mso-wrap-distance-bottom:5.7pt;margin-top:12.65pt;mso-position-vertical-relative:text;margin-left:-1.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/>
                        </w:rPr>
                        <w:t>RESPECT</w:t>
                      </w:r>
                    </w:p>
                    <w:p>
                      <w:pPr>
                        <w:pStyle w:val="NoSpacing"/>
                        <w:jc w:val="both"/>
                        <w:rPr>
                          <w:rFonts w:ascii="Arial" w:hAnsi="Arial" w:cs="Arial"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</w:rPr>
                        <w:t xml:space="preserve">We relate to others in ways that we want others to understand and relate to us. The behaviour that we model sets what we expect.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mc:AlternateContent>
          <mc:Choice Requires="wps">
            <w:drawing>
              <wp:anchor behindDoc="0" distT="0" distB="0" distL="114935" distR="114935" simplePos="0" locked="0" layoutInCell="1" allowOverlap="1" relativeHeight="10">
                <wp:simplePos x="0" y="0"/>
                <wp:positionH relativeFrom="column">
                  <wp:posOffset>-19050</wp:posOffset>
                </wp:positionH>
                <wp:positionV relativeFrom="paragraph">
                  <wp:posOffset>200660</wp:posOffset>
                </wp:positionV>
                <wp:extent cx="2952750" cy="1123950"/>
                <wp:effectExtent l="19050" t="19050" r="19050" b="19050"/>
                <wp:wrapNone/>
                <wp:docPr id="1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20" cy="11239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cap="rnd" w="38160">
                          <a:solidFill>
                            <a:srgbClr val="b3a2c7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7030a0" stroked="t" o:allowincell="f" style="position:absolute;margin-left:-1.5pt;margin-top:15.8pt;width:232.45pt;height:88.45pt;mso-wrap-style:none;v-text-anchor:middle" type="_x0000_t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v:fill o:detectmouseclick="t" type="solid" color2="#8fcf5f"/>
                <v:stroke color="#b3a2c7" weight="38160" joinstyle="round" endcap="round"/>
                <w10:wrap type="none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19050" distR="19050" simplePos="0" locked="0" layoutInCell="1" allowOverlap="1" relativeHeight="20">
                <wp:simplePos x="0" y="0"/>
                <wp:positionH relativeFrom="column">
                  <wp:posOffset>-19050</wp:posOffset>
                </wp:positionH>
                <wp:positionV relativeFrom="paragraph">
                  <wp:posOffset>200660</wp:posOffset>
                </wp:positionV>
                <wp:extent cx="2952750" cy="1123950"/>
                <wp:effectExtent l="0" t="0" r="0" b="0"/>
                <wp:wrapNone/>
                <wp:docPr id="17" name="Frame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11239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/>
                              </w:rPr>
                              <w:t>VALUE DIVERSITY</w:t>
                            </w:r>
                          </w:p>
                          <w:p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</w:rPr>
                              <w:t xml:space="preserve">We are all recognised for our diversity, , commitment, skills and achievements and will challenge inequalities. 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32.5pt;height:88.5pt;mso-wrap-distance-left:1.5pt;mso-wrap-distance-right:1.5pt;mso-wrap-distance-top:5.7pt;mso-wrap-distance-bottom:5.7pt;margin-top:15.8pt;mso-position-vertical-relative:text;margin-left:-1.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/>
                        </w:rPr>
                        <w:t>VALUE DIVERSITY</w:t>
                      </w:r>
                    </w:p>
                    <w:p>
                      <w:pPr>
                        <w:pStyle w:val="NoSpacing"/>
                        <w:jc w:val="both"/>
                        <w:rPr>
                          <w:rFonts w:ascii="Arial" w:hAnsi="Arial" w:cs="Arial"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</w:rPr>
                        <w:t xml:space="preserve">We are all recognised for our diversity, , commitment, skills and achievements and will challenge inequalities.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mc:AlternateContent>
          <mc:Choice Requires="wps">
            <w:drawing>
              <wp:anchor behindDoc="0" distT="0" distB="0" distL="114935" distR="114935" simplePos="0" locked="0" layoutInCell="0" allowOverlap="1" relativeHeight="11">
                <wp:simplePos x="0" y="0"/>
                <wp:positionH relativeFrom="page">
                  <wp:posOffset>4010025</wp:posOffset>
                </wp:positionH>
                <wp:positionV relativeFrom="paragraph">
                  <wp:posOffset>15875</wp:posOffset>
                </wp:positionV>
                <wp:extent cx="3009900" cy="1123950"/>
                <wp:effectExtent l="19050" t="19050" r="19050" b="19050"/>
                <wp:wrapNone/>
                <wp:docPr id="18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60" cy="1123920"/>
                        </a:xfrm>
                        <a:prstGeom prst="rect">
                          <a:avLst/>
                        </a:prstGeom>
                        <a:solidFill>
                          <a:srgbClr val="e46c0a"/>
                        </a:solidFill>
                        <a:ln cap="rnd" w="38160">
                          <a:solidFill>
                            <a:srgbClr val="fac09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#e46c0a" stroked="t" o:allowincell="f" style="position:absolute;margin-left:315.75pt;margin-top:1.25pt;width:236.95pt;height:88.45pt;mso-wrap-style:none;v-text-anchor:middle;mso-position-horizontal-relative:page" type="_x0000_t202">
                <v:textbox>
                  <w:txbxContent>
                    <w:p>
                      <w:pPr>
                        <w:overflowPunct w:val="false"/>
                        <w:spacing w:lineRule="auto" w:line="240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v:fill o:detectmouseclick="t" type="solid" color2="#1b93f5"/>
                <v:stroke color="#fac090" weight="38160" joinstyle="round" endcap="round"/>
                <w10:wrap type="none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19050" distR="19050" simplePos="0" locked="0" layoutInCell="0" allowOverlap="1" relativeHeight="21">
                <wp:simplePos x="0" y="0"/>
                <wp:positionH relativeFrom="page">
                  <wp:posOffset>4010025</wp:posOffset>
                </wp:positionH>
                <wp:positionV relativeFrom="paragraph">
                  <wp:posOffset>15875</wp:posOffset>
                </wp:positionV>
                <wp:extent cx="3009900" cy="1123950"/>
                <wp:effectExtent l="0" t="0" r="0" b="0"/>
                <wp:wrapNone/>
                <wp:docPr id="19" name="Frame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112395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/>
                              </w:rPr>
                              <w:t>ENGAGE</w:t>
                            </w:r>
                          </w:p>
                          <w:p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/>
                              </w:rPr>
                              <w:t xml:space="preserve">We experience consistency in our everyday work; by being involved and having good quality and timely communication across the whole organisation. Our leaders are accessible and open to discussion. 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37pt;height:88.5pt;mso-wrap-distance-left:1.5pt;mso-wrap-distance-right:1.5pt;mso-wrap-distance-top:5.7pt;mso-wrap-distance-bottom:5.7pt;margin-top:1.25pt;mso-position-vertical-relative:text;margin-left:315.75pt;mso-position-horizontal-relative:page">
                <v:textbox inset="0.100694444444444in,0.0506944444444444in,0.100694444444444in,0.0506944444444444in">
                  <w:txbxContent>
                    <w:p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/>
                        </w:rPr>
                        <w:t>ENGAGE</w:t>
                      </w:r>
                    </w:p>
                    <w:p>
                      <w:pPr>
                        <w:pStyle w:val="NoSpacing"/>
                        <w:jc w:val="both"/>
                        <w:rPr>
                          <w:rFonts w:ascii="Arial" w:hAnsi="Arial" w:cs="Arial"/>
                          <w:color w:val="FFFFFF"/>
                        </w:rPr>
                      </w:pPr>
                      <w:r>
                        <w:rPr>
                          <w:rFonts w:cs="Arial" w:ascii="Arial" w:hAnsi="Arial"/>
                          <w:color w:val="FFFFFF"/>
                        </w:rPr>
                        <w:t xml:space="preserve">We experience consistency in our everyday work; by being involved and having good quality and timely communication across the whole organisation. Our leaders are accessible and open to discussion.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spacing w:before="280" w:after="280"/>
        <w:textAlignment w:val="top"/>
        <w:rPr>
          <w:rFonts w:ascii="Arial" w:hAnsi="Arial" w:cs="Arial"/>
          <w:b/>
          <w:sz w:val="22"/>
          <w:szCs w:val="22"/>
          <w:lang w:eastAsia="en-GB"/>
        </w:rPr>
      </w:pPr>
      <w:r>
        <w:rPr>
          <w:rFonts w:cs="Arial" w:ascii="Arial" w:hAnsi="Arial"/>
          <w:b/>
          <w:sz w:val="22"/>
          <w:szCs w:val="22"/>
          <w:lang w:eastAsia="en-GB"/>
        </w:rPr>
        <w:t>As well as making a difference to your community and working for one of the highest performing organisations in the country, here are some other reasons we think you should consider a career with us:</w:t>
      </w:r>
    </w:p>
    <w:p>
      <w:pPr>
        <w:pStyle w:val="Normal"/>
        <w:jc w:val="both"/>
        <w:textAlignment w:val="top"/>
        <w:rPr/>
      </w:pPr>
      <w:r>
        <w:rPr>
          <w:rFonts w:eastAsia="Calibri" w:cs="Arial" w:ascii="Arial" w:hAnsi="Arial"/>
          <w:sz w:val="22"/>
          <w:szCs w:val="22"/>
        </w:rPr>
        <w:t xml:space="preserve">Tameside Council and NHS Tameside &amp; Glossop CCG have come together to form one organisation – Tameside &amp; Glossop Strategic Commission. You will have an </w:t>
      </w:r>
      <w:r>
        <w:rPr>
          <w:rFonts w:cs="Arial" w:ascii="Arial" w:hAnsi="Arial"/>
          <w:b/>
          <w:color w:val="FF00FF"/>
          <w:sz w:val="22"/>
          <w:szCs w:val="22"/>
          <w:lang w:eastAsia="en-GB"/>
        </w:rPr>
        <w:t>induction</w:t>
      </w:r>
      <w:r>
        <w:rPr>
          <w:rFonts w:cs="Arial" w:ascii="Arial" w:hAnsi="Arial"/>
          <w:sz w:val="22"/>
          <w:szCs w:val="22"/>
          <w:lang w:eastAsia="en-GB"/>
        </w:rPr>
        <w:t xml:space="preserve"> that will help you to understand what to expect once you start, how the organisation works and how your post contributes towards the Corporate Plan </w:t>
      </w:r>
      <w:r>
        <w:rPr>
          <w:rFonts w:eastAsia="Calibri" w:cs="Arial" w:ascii="Arial" w:hAnsi="Arial"/>
          <w:sz w:val="22"/>
          <w:szCs w:val="22"/>
        </w:rPr>
        <w:t xml:space="preserve">‘Our People Our Place Our Plan’ aims and aspirations for the area. </w:t>
      </w:r>
    </w:p>
    <w:p>
      <w:pPr>
        <w:pStyle w:val="Normal"/>
        <w:jc w:val="both"/>
        <w:textAlignment w:val="top"/>
        <w:rPr>
          <w:rFonts w:ascii="Calibri" w:hAnsi="Calibri" w:eastAsia="Calibri" w:cs="Calibri"/>
          <w:color w:val="333333"/>
          <w:sz w:val="22"/>
          <w:szCs w:val="22"/>
        </w:rPr>
      </w:pPr>
      <w:r>
        <w:rPr>
          <w:rFonts w:eastAsia="Calibri" w:cs="Calibri" w:ascii="Calibri" w:hAnsi="Calibri"/>
          <w:color w:val="333333"/>
          <w:sz w:val="22"/>
          <w:szCs w:val="22"/>
        </w:rPr>
      </w:r>
    </w:p>
    <w:p>
      <w:pPr>
        <w:pStyle w:val="Normal"/>
        <w:jc w:val="both"/>
        <w:textAlignment w:val="top"/>
        <w:rPr/>
      </w:pPr>
      <w:r>
        <w:rPr>
          <w:rFonts w:eastAsia="Calibri" w:cs="Arial" w:ascii="Arial" w:hAnsi="Arial"/>
          <w:sz w:val="22"/>
          <w:szCs w:val="22"/>
        </w:rPr>
        <w:t xml:space="preserve">The plan is structured by life course – Starting Well, Living Well and Ageing Well, underpinned by the idea of ensuring that Tameside &amp; Glossop is a Great Place, and has a Vibrant Economy. Tameside &amp; Glossop Strategic Commission </w:t>
      </w:r>
      <w:r>
        <w:rPr>
          <w:rFonts w:cs="Arial" w:ascii="Arial" w:hAnsi="Arial"/>
          <w:sz w:val="22"/>
          <w:szCs w:val="22"/>
          <w:lang w:eastAsia="en-GB"/>
        </w:rPr>
        <w:t xml:space="preserve">has a genuine </w:t>
      </w:r>
      <w:r>
        <w:rPr>
          <w:rFonts w:cs="Arial" w:ascii="Arial" w:hAnsi="Arial"/>
          <w:b/>
          <w:color w:val="8496B0"/>
          <w:sz w:val="22"/>
          <w:szCs w:val="22"/>
          <w:lang w:eastAsia="en-GB"/>
        </w:rPr>
        <w:t>commitment to equality of opportunity</w:t>
      </w:r>
      <w:r>
        <w:rPr>
          <w:rFonts w:cs="Arial" w:ascii="Arial" w:hAnsi="Arial"/>
          <w:sz w:val="22"/>
          <w:szCs w:val="22"/>
          <w:lang w:eastAsia="en-GB"/>
        </w:rPr>
        <w:t xml:space="preserve"> for its employees and citizens. </w:t>
      </w:r>
    </w:p>
    <w:p>
      <w:pPr>
        <w:pStyle w:val="Normal"/>
        <w:spacing w:before="280" w:after="280"/>
        <w:jc w:val="both"/>
        <w:textAlignment w:val="top"/>
        <w:rPr/>
      </w:pPr>
      <w:r>
        <w:rPr>
          <w:rFonts w:cs="Arial" w:ascii="Arial" w:hAnsi="Arial"/>
          <w:sz w:val="22"/>
          <w:szCs w:val="22"/>
          <w:lang w:eastAsia="en-GB"/>
        </w:rPr>
        <w:t xml:space="preserve">A comprehensive </w:t>
      </w:r>
      <w:r>
        <w:rPr>
          <w:rFonts w:cs="Arial" w:ascii="Arial" w:hAnsi="Arial"/>
          <w:b/>
          <w:color w:val="70AD47"/>
          <w:sz w:val="22"/>
          <w:szCs w:val="22"/>
          <w:lang w:eastAsia="en-GB"/>
        </w:rPr>
        <w:t>workforce development programme</w:t>
      </w:r>
      <w:r>
        <w:rPr>
          <w:rFonts w:cs="Arial" w:ascii="Arial" w:hAnsi="Arial"/>
          <w:sz w:val="22"/>
          <w:szCs w:val="22"/>
          <w:lang w:eastAsia="en-GB"/>
        </w:rPr>
        <w:t xml:space="preserve">, leadership development programme, as well as an aspiring manager programme. </w:t>
      </w:r>
    </w:p>
    <w:p>
      <w:pPr>
        <w:pStyle w:val="Normal"/>
        <w:spacing w:before="280" w:after="280"/>
        <w:jc w:val="both"/>
        <w:textAlignment w:val="top"/>
        <w:rPr/>
      </w:pPr>
      <w:r>
        <w:rPr>
          <w:rFonts w:cs="Arial" w:ascii="Arial" w:hAnsi="Arial"/>
          <w:b/>
          <w:color w:val="92D050"/>
          <w:sz w:val="22"/>
          <w:szCs w:val="22"/>
          <w:lang w:eastAsia="en-GB"/>
        </w:rPr>
        <w:t>Up to 30 days leave per year</w:t>
      </w:r>
      <w:r>
        <w:rPr>
          <w:rFonts w:cs="Arial" w:ascii="Arial" w:hAnsi="Arial"/>
          <w:color w:val="92D050"/>
          <w:sz w:val="22"/>
          <w:szCs w:val="22"/>
          <w:lang w:eastAsia="en-GB"/>
        </w:rPr>
        <w:t xml:space="preserve"> </w:t>
      </w:r>
      <w:r>
        <w:rPr>
          <w:rFonts w:cs="Arial" w:ascii="Arial" w:hAnsi="Arial"/>
          <w:sz w:val="22"/>
          <w:szCs w:val="22"/>
          <w:lang w:eastAsia="en-GB"/>
        </w:rPr>
        <w:t xml:space="preserve">depending on pay grade/band, in addition to statutory bank holidays. We also operate a </w:t>
      </w:r>
      <w:r>
        <w:rPr>
          <w:rFonts w:cs="Arial" w:ascii="Arial" w:hAnsi="Arial"/>
          <w:b/>
          <w:color w:val="92D050"/>
          <w:sz w:val="22"/>
          <w:szCs w:val="22"/>
          <w:lang w:eastAsia="en-GB"/>
        </w:rPr>
        <w:t>Holiday Purchase scheme.</w:t>
      </w:r>
    </w:p>
    <w:p>
      <w:pPr>
        <w:pStyle w:val="Normal"/>
        <w:spacing w:before="280" w:after="0"/>
        <w:jc w:val="both"/>
        <w:textAlignment w:val="top"/>
        <w:rPr/>
      </w:pPr>
      <w:r>
        <w:rPr>
          <w:rFonts w:cs="Arial" w:ascii="Arial" w:hAnsi="Arial"/>
          <w:sz w:val="22"/>
          <w:szCs w:val="22"/>
          <w:lang w:eastAsia="en-GB"/>
        </w:rPr>
        <w:t xml:space="preserve">The commitment to improving the </w:t>
      </w:r>
      <w:r>
        <w:rPr>
          <w:rFonts w:cs="Arial" w:ascii="Arial" w:hAnsi="Arial"/>
          <w:b/>
          <w:color w:val="9933FF"/>
          <w:sz w:val="22"/>
          <w:szCs w:val="22"/>
          <w:lang w:eastAsia="en-GB"/>
        </w:rPr>
        <w:t>work-life balance of employees</w:t>
      </w:r>
      <w:r>
        <w:rPr>
          <w:rFonts w:cs="Arial" w:ascii="Arial" w:hAnsi="Arial"/>
          <w:color w:val="FFFF00"/>
          <w:sz w:val="22"/>
          <w:szCs w:val="22"/>
          <w:lang w:eastAsia="en-GB"/>
        </w:rPr>
        <w:t xml:space="preserve"> </w:t>
      </w:r>
      <w:r>
        <w:rPr>
          <w:rFonts w:cs="Arial" w:ascii="Arial" w:hAnsi="Arial"/>
          <w:sz w:val="22"/>
          <w:szCs w:val="22"/>
          <w:lang w:eastAsia="en-GB"/>
        </w:rPr>
        <w:t>with a number of supportive procedures promoting, various types of flexible working. Along with, many family friendly policies in place, including generous schemes covering maternity, paternity, shared parental and adoption leave.</w:t>
      </w:r>
    </w:p>
    <w:p>
      <w:pPr>
        <w:pStyle w:val="Normal"/>
        <w:spacing w:before="280" w:after="280"/>
        <w:jc w:val="both"/>
        <w:textAlignment w:val="top"/>
        <w:rPr/>
      </w:pPr>
      <w:r>
        <w:rPr>
          <w:rFonts w:cs="Arial" w:ascii="Arial" w:hAnsi="Arial"/>
          <w:b/>
          <w:color w:val="FF0066"/>
          <w:sz w:val="22"/>
          <w:szCs w:val="22"/>
          <w:lang w:eastAsia="en-GB"/>
        </w:rPr>
        <w:t xml:space="preserve">Tameside Council employees can join the </w:t>
      </w:r>
      <w:r>
        <w:rPr>
          <w:rFonts w:cs="Arial" w:ascii="Arial" w:hAnsi="Arial"/>
          <w:b/>
          <w:sz w:val="22"/>
          <w:szCs w:val="22"/>
          <w:lang w:eastAsia="en-GB"/>
        </w:rPr>
        <w:t>Local Government Pension Scheme (LGPS)</w:t>
      </w:r>
      <w:r>
        <w:rPr>
          <w:rFonts w:cs="Arial" w:ascii="Arial" w:hAnsi="Arial"/>
          <w:b/>
          <w:color w:val="FF0066"/>
          <w:sz w:val="22"/>
          <w:szCs w:val="22"/>
          <w:lang w:eastAsia="en-GB"/>
        </w:rPr>
        <w:t>.</w:t>
      </w:r>
      <w:r>
        <w:rPr>
          <w:rFonts w:cs="Arial" w:ascii="Arial" w:hAnsi="Arial"/>
          <w:sz w:val="22"/>
          <w:szCs w:val="22"/>
          <w:lang w:eastAsia="en-GB"/>
        </w:rPr>
        <w:t xml:space="preserve"> </w:t>
      </w:r>
      <w:r>
        <w:rPr>
          <w:rStyle w:val="Hyperlink"/>
          <w:rFonts w:cs="Arial" w:ascii="Arial" w:hAnsi="Arial"/>
          <w:sz w:val="22"/>
          <w:szCs w:val="22"/>
          <w:lang w:eastAsia="en-GB"/>
        </w:rPr>
        <w:t xml:space="preserve">More information about GMPF and LGPS pensions can be found at </w:t>
      </w:r>
      <w:r>
        <w:rPr>
          <w:rFonts w:cs="Arial" w:ascii="Arial" w:hAnsi="Arial"/>
          <w:sz w:val="22"/>
          <w:szCs w:val="22"/>
          <w:u w:val="single"/>
          <w:lang w:eastAsia="en-GB"/>
        </w:rPr>
        <w:t>www.gmpf.org.uk</w:t>
      </w:r>
      <w:r>
        <w:rPr>
          <w:rFonts w:cs="Arial" w:ascii="Arial" w:hAnsi="Arial"/>
          <w:sz w:val="22"/>
          <w:szCs w:val="22"/>
          <w:lang w:eastAsia="en-GB"/>
        </w:rPr>
        <w:t xml:space="preserve">. </w:t>
      </w:r>
      <w:r>
        <w:rPr>
          <w:rFonts w:cs="Arial" w:ascii="Arial" w:hAnsi="Arial"/>
          <w:b/>
          <w:color w:val="FF0066"/>
          <w:sz w:val="22"/>
          <w:szCs w:val="22"/>
          <w:lang w:eastAsia="en-GB"/>
        </w:rPr>
        <w:t xml:space="preserve">NHS Tameside and Glossop CCG employees can join the </w:t>
      </w:r>
      <w:r>
        <w:rPr>
          <w:rFonts w:cs="Arial" w:ascii="Arial" w:hAnsi="Arial"/>
          <w:sz w:val="22"/>
          <w:szCs w:val="22"/>
          <w:lang w:eastAsia="en-GB"/>
        </w:rPr>
        <w:t>NHS Pension Scheme</w:t>
      </w:r>
      <w:r>
        <w:rPr/>
        <w:t xml:space="preserve">. More information on this scheme </w:t>
      </w:r>
      <w:r>
        <w:drawing>
          <wp:anchor behindDoc="1" distT="0" distB="0" distL="114300" distR="114300" simplePos="0" locked="0" layoutInCell="0" allowOverlap="1" relativeHeight="2">
            <wp:simplePos x="0" y="0"/>
            <wp:positionH relativeFrom="margin">
              <wp:posOffset>-516890</wp:posOffset>
            </wp:positionH>
            <wp:positionV relativeFrom="margin">
              <wp:posOffset>-697230</wp:posOffset>
            </wp:positionV>
            <wp:extent cx="7117080" cy="647065"/>
            <wp:effectExtent l="0" t="0" r="0" b="0"/>
            <wp:wrapSquare wrapText="bothSides"/>
            <wp:docPr id="20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3374" t="84926" r="25679" b="6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2"/>
          <w:szCs w:val="22"/>
          <w:lang w:eastAsia="en-GB"/>
        </w:rPr>
        <w:t xml:space="preserve">can be found by visiting </w:t>
      </w:r>
      <w:r>
        <w:rPr>
          <w:rFonts w:cs="Arial" w:ascii="Arial" w:hAnsi="Arial"/>
          <w:color w:val="0563C1"/>
          <w:sz w:val="22"/>
          <w:szCs w:val="22"/>
          <w:u w:val="single"/>
          <w:lang w:eastAsia="en-GB"/>
        </w:rPr>
        <w:t>https://www.nhsbsa.nhs.uk/nhs-pensions</w:t>
      </w:r>
      <w:r>
        <w:rPr>
          <w:rFonts w:cs="Arial" w:ascii="Arial" w:hAnsi="Arial"/>
          <w:sz w:val="22"/>
          <w:szCs w:val="22"/>
          <w:lang w:eastAsia="en-GB"/>
        </w:rPr>
        <w:t xml:space="preserve">.  Teachers can join the </w:t>
      </w:r>
      <w:r>
        <w:rPr>
          <w:rFonts w:cs="Arial" w:ascii="Arial" w:hAnsi="Arial"/>
          <w:b/>
          <w:color w:val="FF0066"/>
          <w:sz w:val="22"/>
          <w:szCs w:val="22"/>
          <w:lang w:eastAsia="en-GB"/>
        </w:rPr>
        <w:t>Teachers’ Pension Scheme</w:t>
      </w:r>
      <w:r>
        <w:rPr>
          <w:rFonts w:cs="Arial" w:ascii="Arial" w:hAnsi="Arial"/>
          <w:sz w:val="22"/>
          <w:szCs w:val="22"/>
          <w:lang w:eastAsia="en-GB"/>
        </w:rPr>
        <w:t xml:space="preserve">.  More information on this scheme can be found by visiting </w:t>
      </w:r>
      <w:r>
        <w:rPr>
          <w:rFonts w:cs="Arial" w:ascii="Arial" w:hAnsi="Arial"/>
          <w:sz w:val="22"/>
          <w:szCs w:val="22"/>
          <w:u w:val="single"/>
          <w:lang w:eastAsia="en-GB"/>
        </w:rPr>
        <w:t>www.teacherspensions.co.uk</w:t>
      </w:r>
      <w:r>
        <w:rPr>
          <w:rFonts w:cs="Arial" w:ascii="Arial" w:hAnsi="Arial"/>
          <w:sz w:val="22"/>
          <w:szCs w:val="22"/>
          <w:lang w:eastAsia="en-GB"/>
        </w:rPr>
        <w:t>.</w:t>
      </w:r>
    </w:p>
    <w:p>
      <w:pPr>
        <w:pStyle w:val="Normal"/>
        <w:spacing w:before="0" w:after="280"/>
        <w:textAlignment w:val="top"/>
        <w:rPr/>
      </w:pPr>
      <w:r>
        <w:rPr>
          <w:rFonts w:eastAsia="Calibri" w:cs="Arial" w:ascii="Arial" w:hAnsi="Arial"/>
          <w:sz w:val="22"/>
          <w:szCs w:val="22"/>
        </w:rPr>
        <w:t>Tameside &amp; Glossop Strategic Commission</w:t>
      </w:r>
      <w:r>
        <w:rPr>
          <w:rFonts w:cs="Arial" w:ascii="Arial" w:hAnsi="Arial"/>
          <w:sz w:val="22"/>
          <w:szCs w:val="22"/>
          <w:lang w:eastAsia="en-GB"/>
        </w:rPr>
        <w:t xml:space="preserve"> offers a range of salary sacrifice schemes, plus a number of other </w:t>
      </w:r>
      <w:r>
        <w:rPr>
          <w:rFonts w:cs="Arial" w:ascii="Arial" w:hAnsi="Arial"/>
          <w:b/>
          <w:color w:val="00CCFF"/>
          <w:sz w:val="22"/>
          <w:szCs w:val="22"/>
          <w:lang w:eastAsia="en-GB"/>
        </w:rPr>
        <w:t>staff benefits</w:t>
      </w:r>
      <w:r>
        <w:rPr>
          <w:rFonts w:cs="Arial" w:ascii="Arial" w:hAnsi="Arial"/>
          <w:sz w:val="22"/>
          <w:szCs w:val="22"/>
          <w:lang w:eastAsia="en-GB"/>
        </w:rPr>
        <w:t xml:space="preserve"> including discounts at local shops, restaurants, health and fitness clubs and much more.</w:t>
      </w:r>
    </w:p>
    <w:sectPr>
      <w:footerReference w:type="default" r:id="rId6"/>
      <w:type w:val="nextPage"/>
      <w:pgSz w:w="11906" w:h="16838"/>
      <w:pgMar w:left="1440" w:right="849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Tahoma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</w:rPr>
      <w:fldChar w:fldCharType="begin"/>
    </w:r>
    <w:r>
      <w:rPr>
        <w:sz w:val="22"/>
        <w:szCs w:val="22"/>
        <w:rFonts w:cs="Arial" w:ascii="Arial" w:hAnsi="Arial"/>
      </w:rPr>
      <w:instrText xml:space="preserve"> PAGE </w:instrText>
    </w:r>
    <w:r>
      <w:rPr>
        <w:sz w:val="22"/>
        <w:szCs w:val="22"/>
        <w:rFonts w:cs="Arial" w:ascii="Arial" w:hAnsi="Arial"/>
      </w:rPr>
      <w:fldChar w:fldCharType="separate"/>
    </w:r>
    <w:r>
      <w:rPr>
        <w:sz w:val="22"/>
        <w:szCs w:val="22"/>
        <w:rFonts w:cs="Arial" w:ascii="Arial" w:hAnsi="Arial"/>
      </w:rPr>
      <w:t>5</w:t>
    </w:r>
    <w:r>
      <w:rPr>
        <w:sz w:val="22"/>
        <w:szCs w:val="22"/>
        <w:rFonts w:cs="Arial" w:ascii="Arial" w:hAnsi="Arial"/>
      </w:rPr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GB" w:eastAsia="en-US" w:bidi="ar-SA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FooterChar">
    <w:name w:val="Footer Char"/>
    <w:basedOn w:val="DefaultParagraphFont"/>
    <w:qFormat/>
    <w:rPr>
      <w:rFonts w:ascii="Times New Roman" w:hAnsi="Times New Roman" w:eastAsia="Times New Roman" w:cs="Times New Roman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TitleChar">
    <w:name w:val="Title Char"/>
    <w:basedOn w:val="DefaultParagraphFont"/>
    <w:qFormat/>
    <w:rPr>
      <w:rFonts w:ascii="Tahoma" w:hAnsi="Tahoma" w:eastAsia="Times New Roman" w:cs="Times New Roman"/>
      <w:b/>
      <w:bCs/>
      <w:szCs w:val="24"/>
      <w:u w:val="single"/>
    </w:rPr>
  </w:style>
  <w:style w:type="character" w:styleId="Heading6Char">
    <w:name w:val="Heading 6 Char"/>
    <w:basedOn w:val="DefaultParagraphFont"/>
    <w:qFormat/>
    <w:rPr>
      <w:rFonts w:ascii="Times New Roman" w:hAnsi="Times New Roman" w:eastAsia="Times New Roman" w:cs="Times New Roman"/>
      <w:b/>
      <w:bCs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CommentTextChar">
    <w:name w:val="Comment Text Char"/>
    <w:basedOn w:val="DefaultParagraphFont"/>
    <w:qFormat/>
    <w:rPr>
      <w:rFonts w:ascii="Times New Roman" w:hAnsi="Times New Roman" w:eastAsia="Times New Roman" w:cs="Times New Roman"/>
      <w:sz w:val="20"/>
      <w:szCs w:val="20"/>
    </w:rPr>
  </w:style>
  <w:style w:type="character" w:styleId="CommentSubjectChar">
    <w:name w:val="Comment Subject Char"/>
    <w:basedOn w:val="CommentTextChar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BalloonTextChar">
    <w:name w:val="Balloon Text Char"/>
    <w:basedOn w:val="DefaultParagraphFont"/>
    <w:qFormat/>
    <w:rPr>
      <w:rFonts w:ascii="Segoe UI" w:hAnsi="Segoe UI" w:eastAsia="Times New Roman" w:cs="Segoe UI"/>
      <w:sz w:val="18"/>
      <w:szCs w:val="18"/>
    </w:rPr>
  </w:style>
  <w:style w:type="character" w:styleId="BodyTextChar">
    <w:name w:val="Body Text Char"/>
    <w:basedOn w:val="DefaultParagraphFont"/>
    <w:qFormat/>
    <w:rPr>
      <w:rFonts w:ascii="Arial" w:hAnsi="Arial" w:eastAsia="Times New Roman" w:cs="Times New Roman"/>
      <w:b/>
      <w:bCs/>
      <w:sz w:val="24"/>
      <w:szCs w:val="24"/>
    </w:rPr>
  </w:style>
  <w:style w:type="character" w:styleId="HeaderChar">
    <w:name w:val="Header Char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Arial" w:hAnsi="Arial" w:cs="Arial"/>
      <w:b/>
      <w:bCs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 w:right="0"/>
      <w:contextualSpacing/>
    </w:pPr>
    <w:rPr>
      <w:rFonts w:ascii="Arial" w:hAnsi="Arial" w:eastAsia="Calibri" w:cs="Arial"/>
      <w:sz w:val="22"/>
      <w:szCs w:val="22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0"/>
      <w:sz w:val="20"/>
      <w:szCs w:val="22"/>
      <w:lang w:val="en-GB" w:eastAsia="en-US" w:bidi="ar-SA"/>
    </w:rPr>
  </w:style>
  <w:style w:type="paragraph" w:styleId="Title">
    <w:name w:val="Title"/>
    <w:basedOn w:val="Normal"/>
    <w:next w:val="BodyText"/>
    <w:qFormat/>
    <w:pPr>
      <w:jc w:val="center"/>
    </w:pPr>
    <w:rPr>
      <w:rFonts w:ascii="Tahoma" w:hAnsi="Tahoma" w:cs="Tahoma"/>
      <w:b/>
      <w:bCs/>
      <w:sz w:val="22"/>
      <w:szCs w:val="24"/>
      <w:u w:val="single"/>
    </w:rPr>
  </w:style>
  <w:style w:type="paragraph" w:styleId="annotationtext">
    <w:name w:val="annotation text"/>
    <w:basedOn w:val="Normal"/>
    <w:qFormat/>
    <w:pPr/>
    <w:rPr/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en-GB" w:eastAsia="en-US" w:bidi="ar-SA"/>
    </w:rPr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>
      <w:sz w:val="24"/>
      <w:szCs w:val="24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