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7513AAD2" w:rsidR="007672D6" w:rsidRDefault="007672D6" w:rsidP="007672D6">
            <w:pPr>
              <w:rPr>
                <w:rFonts w:ascii="Arial" w:hAnsi="Arial" w:cs="Arial"/>
                <w:b/>
                <w:bCs/>
                <w:sz w:val="22"/>
                <w:szCs w:val="22"/>
              </w:rPr>
            </w:pPr>
            <w:r>
              <w:rPr>
                <w:rFonts w:ascii="Arial" w:hAnsi="Arial" w:cs="Arial"/>
                <w:b/>
                <w:bCs/>
                <w:sz w:val="22"/>
                <w:szCs w:val="22"/>
              </w:rPr>
              <w:t>Job Title</w:t>
            </w:r>
            <w:r w:rsidR="00217B4A">
              <w:rPr>
                <w:rFonts w:ascii="Arial" w:hAnsi="Arial" w:cs="Arial"/>
                <w:b/>
                <w:bCs/>
                <w:sz w:val="22"/>
                <w:szCs w:val="22"/>
              </w:rPr>
              <w:t>:</w:t>
            </w:r>
          </w:p>
        </w:tc>
        <w:tc>
          <w:tcPr>
            <w:tcW w:w="7627" w:type="dxa"/>
          </w:tcPr>
          <w:p w14:paraId="0E4ABA77" w14:textId="018227B6" w:rsidR="007672D6" w:rsidRPr="007672D6" w:rsidRDefault="005E4EC9" w:rsidP="005E4EC9">
            <w:pPr>
              <w:rPr>
                <w:rFonts w:ascii="Arial" w:hAnsi="Arial" w:cs="Arial"/>
                <w:sz w:val="22"/>
                <w:szCs w:val="22"/>
              </w:rPr>
            </w:pPr>
            <w:r>
              <w:rPr>
                <w:rFonts w:ascii="Arial" w:hAnsi="Arial" w:cs="Arial"/>
                <w:sz w:val="22"/>
                <w:szCs w:val="22"/>
              </w:rPr>
              <w:t>Technical Support Officer</w:t>
            </w:r>
            <w:r w:rsidR="00217B4A">
              <w:rPr>
                <w:rFonts w:ascii="Arial" w:hAnsi="Arial" w:cs="Arial"/>
                <w:sz w:val="22"/>
                <w:szCs w:val="22"/>
              </w:rPr>
              <w:t xml:space="preserve"> </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ED43402" w:rsidR="00194758" w:rsidRPr="007672D6" w:rsidRDefault="00194758" w:rsidP="007672D6">
            <w:pPr>
              <w:rPr>
                <w:rFonts w:ascii="Arial" w:hAnsi="Arial" w:cs="Arial"/>
                <w:sz w:val="22"/>
                <w:szCs w:val="22"/>
              </w:rPr>
            </w:pP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494D691" w:rsidR="007672D6" w:rsidRPr="007672D6" w:rsidRDefault="00217B4A" w:rsidP="007672D6">
            <w:pPr>
              <w:rPr>
                <w:rFonts w:ascii="Arial" w:hAnsi="Arial" w:cs="Arial"/>
                <w:sz w:val="22"/>
                <w:szCs w:val="22"/>
              </w:rPr>
            </w:pPr>
            <w:r>
              <w:rPr>
                <w:rFonts w:ascii="Arial" w:hAnsi="Arial" w:cs="Arial"/>
                <w:sz w:val="22"/>
                <w:szCs w:val="22"/>
              </w:rPr>
              <w:t xml:space="preserve">Planning </w:t>
            </w:r>
            <w:r w:rsidR="00624C73">
              <w:rPr>
                <w:rFonts w:ascii="Arial" w:hAnsi="Arial" w:cs="Arial"/>
                <w:sz w:val="22"/>
                <w:szCs w:val="22"/>
              </w:rPr>
              <w:t>Services</w:t>
            </w:r>
            <w:r w:rsidR="009F4823">
              <w:rPr>
                <w:rFonts w:ascii="Arial" w:hAnsi="Arial" w:cs="Arial"/>
                <w:sz w:val="22"/>
                <w:szCs w:val="22"/>
              </w:rPr>
              <w:t xml:space="preserve"> – Building Control</w:t>
            </w:r>
            <w:r w:rsidR="006B4C05">
              <w:rPr>
                <w:rFonts w:ascii="Arial" w:hAnsi="Arial" w:cs="Arial"/>
                <w:sz w:val="22"/>
                <w:szCs w:val="22"/>
              </w:rPr>
              <w:t>/Planning</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6C37C33" w:rsidR="007672D6" w:rsidRPr="007672D6" w:rsidRDefault="005E4EC9" w:rsidP="007672D6">
            <w:pPr>
              <w:rPr>
                <w:rFonts w:ascii="Arial" w:hAnsi="Arial" w:cs="Arial"/>
                <w:sz w:val="22"/>
                <w:szCs w:val="22"/>
              </w:rPr>
            </w:pPr>
            <w:r>
              <w:rPr>
                <w:rFonts w:ascii="Arial" w:hAnsi="Arial" w:cs="Arial"/>
                <w:sz w:val="22"/>
                <w:szCs w:val="22"/>
              </w:rPr>
              <w:t>Grade D</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74F36CBA" w:rsidR="007672D6" w:rsidRPr="007672D6" w:rsidRDefault="00217B4A" w:rsidP="007672D6">
            <w:pPr>
              <w:rPr>
                <w:rFonts w:ascii="Arial" w:hAnsi="Arial" w:cs="Arial"/>
                <w:sz w:val="22"/>
                <w:szCs w:val="22"/>
              </w:rPr>
            </w:pPr>
            <w:r>
              <w:rPr>
                <w:rFonts w:ascii="Arial" w:hAnsi="Arial" w:cs="Arial"/>
                <w:sz w:val="22"/>
                <w:szCs w:val="22"/>
              </w:rPr>
              <w:t>Business Support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23EBEE8E" w14:textId="77777777" w:rsidR="005F6CA5" w:rsidRDefault="005F6CA5" w:rsidP="005A7602">
            <w:pPr>
              <w:pStyle w:val="Default"/>
              <w:rPr>
                <w:b/>
                <w:sz w:val="22"/>
                <w:szCs w:val="22"/>
              </w:rPr>
            </w:pPr>
          </w:p>
          <w:p w14:paraId="42A44819" w14:textId="5BC39393" w:rsidR="00E67C70" w:rsidRPr="00E076AB" w:rsidRDefault="00BF087C" w:rsidP="005A7602">
            <w:pPr>
              <w:pStyle w:val="Default"/>
              <w:rPr>
                <w:b/>
                <w:bCs/>
                <w:sz w:val="22"/>
                <w:szCs w:val="22"/>
              </w:rPr>
            </w:pPr>
            <w:r w:rsidRPr="005F6CA5">
              <w:rPr>
                <w:b/>
                <w:sz w:val="22"/>
                <w:szCs w:val="22"/>
              </w:rPr>
              <w:t xml:space="preserve">This role </w:t>
            </w:r>
            <w:r w:rsidR="005F6CA5">
              <w:rPr>
                <w:b/>
                <w:sz w:val="22"/>
                <w:szCs w:val="22"/>
              </w:rPr>
              <w:t xml:space="preserve">is to provide </w:t>
            </w:r>
            <w:r w:rsidR="005E4EC9">
              <w:rPr>
                <w:b/>
                <w:sz w:val="22"/>
                <w:szCs w:val="22"/>
              </w:rPr>
              <w:t xml:space="preserve">professional </w:t>
            </w:r>
            <w:r w:rsidR="005F6CA5">
              <w:rPr>
                <w:b/>
                <w:sz w:val="22"/>
                <w:szCs w:val="22"/>
              </w:rPr>
              <w:t xml:space="preserve">technical </w:t>
            </w:r>
            <w:r w:rsidR="005F6CA5" w:rsidRPr="005F6CA5">
              <w:rPr>
                <w:b/>
                <w:sz w:val="22"/>
                <w:szCs w:val="22"/>
              </w:rPr>
              <w:t xml:space="preserve">support </w:t>
            </w:r>
            <w:r w:rsidR="005F6CA5">
              <w:rPr>
                <w:b/>
                <w:sz w:val="22"/>
                <w:szCs w:val="22"/>
              </w:rPr>
              <w:t xml:space="preserve">to </w:t>
            </w:r>
            <w:r w:rsidR="006B4C05">
              <w:rPr>
                <w:b/>
                <w:sz w:val="22"/>
                <w:szCs w:val="22"/>
              </w:rPr>
              <w:t xml:space="preserve">predominantly </w:t>
            </w:r>
            <w:r w:rsidR="005F6CA5">
              <w:rPr>
                <w:b/>
                <w:sz w:val="22"/>
                <w:szCs w:val="22"/>
              </w:rPr>
              <w:t xml:space="preserve">assist with </w:t>
            </w:r>
            <w:r w:rsidR="005A7602" w:rsidRPr="005F6CA5">
              <w:rPr>
                <w:b/>
                <w:sz w:val="22"/>
                <w:szCs w:val="22"/>
              </w:rPr>
              <w:t>the delivery of an effective and efficient, customer</w:t>
            </w:r>
            <w:r w:rsidR="00E076AB">
              <w:rPr>
                <w:b/>
                <w:sz w:val="22"/>
                <w:szCs w:val="22"/>
              </w:rPr>
              <w:t>-</w:t>
            </w:r>
            <w:r w:rsidR="005A7602" w:rsidRPr="005F6CA5">
              <w:rPr>
                <w:b/>
                <w:sz w:val="22"/>
                <w:szCs w:val="22"/>
              </w:rPr>
              <w:t xml:space="preserve">focused </w:t>
            </w:r>
            <w:r w:rsidR="00624C73">
              <w:rPr>
                <w:b/>
                <w:sz w:val="22"/>
                <w:szCs w:val="22"/>
              </w:rPr>
              <w:t>Building Control</w:t>
            </w:r>
            <w:r w:rsidR="005A7602" w:rsidRPr="005F6CA5">
              <w:rPr>
                <w:b/>
                <w:sz w:val="22"/>
                <w:szCs w:val="22"/>
              </w:rPr>
              <w:t xml:space="preserve"> service.  </w:t>
            </w:r>
            <w:r w:rsidR="00624C73" w:rsidRPr="00624C73">
              <w:rPr>
                <w:b/>
                <w:iCs/>
                <w:sz w:val="22"/>
              </w:rPr>
              <w:t xml:space="preserve">As a Technical Support </w:t>
            </w:r>
            <w:r w:rsidR="00624C73">
              <w:rPr>
                <w:b/>
                <w:iCs/>
                <w:sz w:val="22"/>
              </w:rPr>
              <w:t>Officer</w:t>
            </w:r>
            <w:r w:rsidR="00624C73" w:rsidRPr="00624C73">
              <w:rPr>
                <w:b/>
                <w:iCs/>
                <w:sz w:val="22"/>
              </w:rPr>
              <w:t xml:space="preserve">, you will deliver technical and administrative support to the </w:t>
            </w:r>
            <w:r w:rsidR="00624C73">
              <w:rPr>
                <w:b/>
                <w:iCs/>
                <w:sz w:val="22"/>
              </w:rPr>
              <w:t>B</w:t>
            </w:r>
            <w:r w:rsidR="00624C73" w:rsidRPr="00624C73">
              <w:rPr>
                <w:b/>
                <w:iCs/>
                <w:sz w:val="22"/>
              </w:rPr>
              <w:t xml:space="preserve">uilding </w:t>
            </w:r>
            <w:r w:rsidR="00624C73">
              <w:rPr>
                <w:b/>
                <w:iCs/>
                <w:sz w:val="22"/>
              </w:rPr>
              <w:t>C</w:t>
            </w:r>
            <w:r w:rsidR="00624C73" w:rsidRPr="00624C73">
              <w:rPr>
                <w:b/>
                <w:iCs/>
                <w:sz w:val="22"/>
              </w:rPr>
              <w:t>ontrol service to ensure that the Building Regulations are complied with across the borough</w:t>
            </w:r>
            <w:r w:rsidR="00624C73">
              <w:rPr>
                <w:b/>
                <w:iCs/>
                <w:sz w:val="22"/>
              </w:rPr>
              <w:t>.</w:t>
            </w:r>
            <w:r w:rsidR="006B4C05">
              <w:rPr>
                <w:b/>
                <w:iCs/>
                <w:sz w:val="22"/>
              </w:rPr>
              <w:t xml:space="preserve">  The role will also require, when directed, the provision of technical support to the Planning, Planning Policy, Planning Enforcement and Land Charges teams.</w:t>
            </w:r>
          </w:p>
          <w:p w14:paraId="3A567622" w14:textId="77777777" w:rsidR="00E67C70" w:rsidRDefault="00E67C70" w:rsidP="005A7602">
            <w:pPr>
              <w:pStyle w:val="Default"/>
              <w:rPr>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7EFBCE51" w14:textId="54C1F6F8" w:rsidR="005E4EC9" w:rsidRDefault="0070520E" w:rsidP="00A206E5">
            <w:pPr>
              <w:widowControl w:val="0"/>
              <w:numPr>
                <w:ilvl w:val="0"/>
                <w:numId w:val="29"/>
              </w:numPr>
              <w:tabs>
                <w:tab w:val="left" w:pos="-720"/>
              </w:tabs>
              <w:suppressAutoHyphens/>
              <w:overflowPunct w:val="0"/>
              <w:autoSpaceDE w:val="0"/>
              <w:autoSpaceDN w:val="0"/>
              <w:adjustRightInd w:val="0"/>
              <w:ind w:right="720"/>
              <w:textAlignment w:val="baseline"/>
              <w:rPr>
                <w:rFonts w:ascii="Arial" w:hAnsi="Arial" w:cs="Arial"/>
                <w:spacing w:val="-3"/>
                <w:sz w:val="22"/>
              </w:rPr>
            </w:pPr>
            <w:r>
              <w:rPr>
                <w:rFonts w:ascii="Arial" w:hAnsi="Arial" w:cs="Arial"/>
                <w:spacing w:val="-3"/>
                <w:sz w:val="22"/>
              </w:rPr>
              <w:t>To r</w:t>
            </w:r>
            <w:r w:rsidR="00624C73">
              <w:rPr>
                <w:rFonts w:ascii="Arial" w:hAnsi="Arial" w:cs="Arial"/>
                <w:spacing w:val="-3"/>
                <w:sz w:val="22"/>
              </w:rPr>
              <w:t xml:space="preserve">egister </w:t>
            </w:r>
            <w:r>
              <w:rPr>
                <w:rFonts w:ascii="Arial" w:hAnsi="Arial" w:cs="Arial"/>
                <w:spacing w:val="-3"/>
                <w:sz w:val="22"/>
              </w:rPr>
              <w:t xml:space="preserve">and validate </w:t>
            </w:r>
            <w:r w:rsidR="00624C73">
              <w:rPr>
                <w:rFonts w:ascii="Arial" w:hAnsi="Arial" w:cs="Arial"/>
                <w:spacing w:val="-3"/>
                <w:sz w:val="22"/>
              </w:rPr>
              <w:t xml:space="preserve">Building Regulations applications, ensuring all submitted documents satisfy the legislative requirements.  </w:t>
            </w:r>
            <w:r>
              <w:rPr>
                <w:rFonts w:ascii="Arial" w:hAnsi="Arial" w:cs="Arial"/>
                <w:spacing w:val="-3"/>
                <w:sz w:val="22"/>
              </w:rPr>
              <w:t>This includes data entry to the corporate systems</w:t>
            </w:r>
            <w:r w:rsidR="0010772C">
              <w:rPr>
                <w:rFonts w:ascii="Arial" w:hAnsi="Arial" w:cs="Arial"/>
                <w:spacing w:val="-3"/>
                <w:sz w:val="22"/>
              </w:rPr>
              <w:t xml:space="preserve"> (Idox)</w:t>
            </w:r>
            <w:r>
              <w:rPr>
                <w:rFonts w:ascii="Arial" w:hAnsi="Arial" w:cs="Arial"/>
                <w:spacing w:val="-3"/>
                <w:sz w:val="22"/>
              </w:rPr>
              <w:t>, fee clarification to ensure compliance with the schedule of fees and charges, document management and all associated works.</w:t>
            </w:r>
          </w:p>
          <w:p w14:paraId="7C9B5672" w14:textId="3C939C00" w:rsidR="00A206E5" w:rsidRDefault="00A206E5" w:rsidP="00A206E5">
            <w:pPr>
              <w:widowControl w:val="0"/>
              <w:tabs>
                <w:tab w:val="left" w:pos="-720"/>
              </w:tabs>
              <w:suppressAutoHyphens/>
              <w:overflowPunct w:val="0"/>
              <w:autoSpaceDE w:val="0"/>
              <w:autoSpaceDN w:val="0"/>
              <w:adjustRightInd w:val="0"/>
              <w:ind w:right="720"/>
              <w:textAlignment w:val="baseline"/>
              <w:rPr>
                <w:rFonts w:ascii="Arial" w:hAnsi="Arial" w:cs="Arial"/>
                <w:spacing w:val="-3"/>
                <w:sz w:val="22"/>
              </w:rPr>
            </w:pPr>
          </w:p>
          <w:p w14:paraId="2D999F67" w14:textId="517D3257" w:rsidR="005A7602" w:rsidRPr="00B310FD" w:rsidRDefault="00A206E5" w:rsidP="00A206E5">
            <w:pPr>
              <w:pStyle w:val="ListParagraph"/>
              <w:widowControl w:val="0"/>
              <w:numPr>
                <w:ilvl w:val="0"/>
                <w:numId w:val="29"/>
              </w:numPr>
              <w:tabs>
                <w:tab w:val="left" w:pos="-720"/>
              </w:tabs>
              <w:suppressAutoHyphens/>
              <w:overflowPunct w:val="0"/>
              <w:autoSpaceDE w:val="0"/>
              <w:autoSpaceDN w:val="0"/>
              <w:adjustRightInd w:val="0"/>
              <w:ind w:right="720"/>
              <w:textAlignment w:val="baseline"/>
            </w:pPr>
            <w:r w:rsidRPr="00A206E5">
              <w:rPr>
                <w:spacing w:val="-3"/>
              </w:rPr>
              <w:t xml:space="preserve">To </w:t>
            </w:r>
            <w:r w:rsidR="0070520E">
              <w:rPr>
                <w:spacing w:val="-3"/>
              </w:rPr>
              <w:t xml:space="preserve">prepare and issue relevant consultations in relation to the Building Regulations. These checks </w:t>
            </w:r>
            <w:r w:rsidR="009F4823">
              <w:rPr>
                <w:spacing w:val="-3"/>
              </w:rPr>
              <w:t>will include sewer check and</w:t>
            </w:r>
            <w:r w:rsidR="0070520E">
              <w:rPr>
                <w:spacing w:val="-3"/>
              </w:rPr>
              <w:t xml:space="preserve"> presence of ground gas.</w:t>
            </w:r>
            <w:r w:rsidR="009F4823">
              <w:rPr>
                <w:spacing w:val="-3"/>
              </w:rPr>
              <w:t xml:space="preserve">  Issue any consultations as may be required, including sewer consultation, fire service consultation and structural engineering consultation.</w:t>
            </w:r>
          </w:p>
          <w:p w14:paraId="4A3B7CE3" w14:textId="77777777" w:rsidR="00B310FD" w:rsidRPr="00B310FD" w:rsidRDefault="00B310FD" w:rsidP="00B310FD">
            <w:pPr>
              <w:pStyle w:val="ListParagraph"/>
            </w:pPr>
          </w:p>
          <w:p w14:paraId="1D578CCC" w14:textId="6D2DB44D" w:rsidR="00B310FD" w:rsidRPr="00B310FD" w:rsidRDefault="009F4823" w:rsidP="00A206E5">
            <w:pPr>
              <w:pStyle w:val="ListParagraph"/>
              <w:widowControl w:val="0"/>
              <w:numPr>
                <w:ilvl w:val="0"/>
                <w:numId w:val="29"/>
              </w:numPr>
              <w:tabs>
                <w:tab w:val="left" w:pos="-720"/>
              </w:tabs>
              <w:suppressAutoHyphens/>
              <w:overflowPunct w:val="0"/>
              <w:autoSpaceDE w:val="0"/>
              <w:autoSpaceDN w:val="0"/>
              <w:adjustRightInd w:val="0"/>
              <w:ind w:right="720"/>
              <w:textAlignment w:val="baseline"/>
            </w:pPr>
            <w:r>
              <w:rPr>
                <w:spacing w:val="-3"/>
              </w:rPr>
              <w:t>Respond effectively and within the service standards to enquiries relating to Building Regulations by telephone and in writing</w:t>
            </w:r>
            <w:r w:rsidR="00B310FD" w:rsidRPr="00B310FD">
              <w:rPr>
                <w:spacing w:val="-3"/>
              </w:rPr>
              <w:t>.</w:t>
            </w:r>
            <w:r w:rsidR="008C6341">
              <w:rPr>
                <w:spacing w:val="-3"/>
              </w:rPr>
              <w:t xml:space="preserve">  This includes the management of the service specific email inbox.</w:t>
            </w:r>
          </w:p>
          <w:p w14:paraId="02A61E74" w14:textId="008CCEDB" w:rsidR="009B34CB" w:rsidRPr="009B34CB" w:rsidRDefault="009F4823" w:rsidP="00A206E5">
            <w:pPr>
              <w:widowControl w:val="0"/>
              <w:numPr>
                <w:ilvl w:val="0"/>
                <w:numId w:val="29"/>
              </w:numPr>
              <w:tabs>
                <w:tab w:val="left" w:pos="-720"/>
              </w:tabs>
              <w:suppressAutoHyphens/>
              <w:overflowPunct w:val="0"/>
              <w:autoSpaceDE w:val="0"/>
              <w:autoSpaceDN w:val="0"/>
              <w:adjustRightInd w:val="0"/>
              <w:ind w:right="720"/>
              <w:textAlignment w:val="baseline"/>
              <w:rPr>
                <w:rFonts w:ascii="Arial" w:hAnsi="Arial" w:cs="Arial"/>
                <w:sz w:val="24"/>
                <w:szCs w:val="22"/>
              </w:rPr>
            </w:pPr>
            <w:r>
              <w:rPr>
                <w:rFonts w:ascii="Arial" w:hAnsi="Arial" w:cs="Arial"/>
                <w:spacing w:val="-3"/>
                <w:sz w:val="22"/>
              </w:rPr>
              <w:t>To prepare and issue Building Regulation Decision Notices in conjunction with Building Control Surveyors.  This will include the inputting to the computer systems and production of all appropriate statutory documentation</w:t>
            </w:r>
          </w:p>
          <w:p w14:paraId="00C98AED" w14:textId="77777777" w:rsidR="005A7602" w:rsidRDefault="005A7602" w:rsidP="005A7602">
            <w:pPr>
              <w:pStyle w:val="Default"/>
              <w:rPr>
                <w:sz w:val="22"/>
                <w:szCs w:val="22"/>
              </w:rPr>
            </w:pPr>
          </w:p>
          <w:p w14:paraId="35C9AC52" w14:textId="0669B725" w:rsidR="0010772C" w:rsidRDefault="0010772C" w:rsidP="00A206E5">
            <w:pPr>
              <w:widowControl w:val="0"/>
              <w:numPr>
                <w:ilvl w:val="0"/>
                <w:numId w:val="29"/>
              </w:numPr>
              <w:tabs>
                <w:tab w:val="left" w:pos="-720"/>
              </w:tabs>
              <w:suppressAutoHyphens/>
              <w:overflowPunct w:val="0"/>
              <w:autoSpaceDE w:val="0"/>
              <w:autoSpaceDN w:val="0"/>
              <w:adjustRightInd w:val="0"/>
              <w:ind w:right="720"/>
              <w:textAlignment w:val="baseline"/>
              <w:rPr>
                <w:rFonts w:ascii="Arial" w:hAnsi="Arial" w:cs="Arial"/>
                <w:spacing w:val="-3"/>
                <w:sz w:val="22"/>
              </w:rPr>
            </w:pPr>
            <w:r>
              <w:rPr>
                <w:rFonts w:ascii="Arial" w:hAnsi="Arial" w:cs="Arial"/>
                <w:spacing w:val="-3"/>
                <w:sz w:val="22"/>
              </w:rPr>
              <w:t>To accurately book, accept and acknowledge requests for site inspections in a timely manner, ensuring all relevant information is available to the building control surveying team.</w:t>
            </w:r>
            <w:r>
              <w:rPr>
                <w:rFonts w:ascii="Arial" w:hAnsi="Arial" w:cs="Arial"/>
                <w:spacing w:val="-3"/>
                <w:sz w:val="22"/>
              </w:rPr>
              <w:br/>
            </w:r>
          </w:p>
          <w:p w14:paraId="57D68CD9" w14:textId="766E4E34" w:rsidR="0010772C" w:rsidRDefault="0010772C" w:rsidP="00277377">
            <w:pPr>
              <w:widowControl w:val="0"/>
              <w:numPr>
                <w:ilvl w:val="0"/>
                <w:numId w:val="29"/>
              </w:numPr>
              <w:tabs>
                <w:tab w:val="left" w:pos="-720"/>
              </w:tabs>
              <w:suppressAutoHyphens/>
              <w:overflowPunct w:val="0"/>
              <w:autoSpaceDE w:val="0"/>
              <w:autoSpaceDN w:val="0"/>
              <w:adjustRightInd w:val="0"/>
              <w:ind w:right="720"/>
              <w:textAlignment w:val="baseline"/>
              <w:rPr>
                <w:rFonts w:ascii="Arial" w:hAnsi="Arial" w:cs="Arial"/>
                <w:spacing w:val="-3"/>
                <w:sz w:val="22"/>
              </w:rPr>
            </w:pPr>
            <w:r w:rsidRPr="0010772C">
              <w:rPr>
                <w:rFonts w:ascii="Arial" w:hAnsi="Arial" w:cs="Arial"/>
                <w:spacing w:val="-3"/>
                <w:sz w:val="22"/>
              </w:rPr>
              <w:t xml:space="preserve">To prepare and issue Completion Certificates </w:t>
            </w:r>
            <w:r>
              <w:rPr>
                <w:rFonts w:ascii="Arial" w:hAnsi="Arial" w:cs="Arial"/>
                <w:spacing w:val="-3"/>
                <w:sz w:val="22"/>
              </w:rPr>
              <w:t>following satisfactory completion of a project, under the instruction of the building control surveying team</w:t>
            </w:r>
            <w:r w:rsidR="00DD5E16">
              <w:rPr>
                <w:rFonts w:ascii="Arial" w:hAnsi="Arial" w:cs="Arial"/>
                <w:spacing w:val="-3"/>
                <w:sz w:val="22"/>
              </w:rPr>
              <w:t>.</w:t>
            </w:r>
          </w:p>
          <w:p w14:paraId="139ED8C4" w14:textId="77777777" w:rsidR="00DD5E16" w:rsidRDefault="00DD5E16" w:rsidP="00DD5E16">
            <w:pPr>
              <w:widowControl w:val="0"/>
              <w:tabs>
                <w:tab w:val="left" w:pos="-720"/>
              </w:tabs>
              <w:suppressAutoHyphens/>
              <w:overflowPunct w:val="0"/>
              <w:autoSpaceDE w:val="0"/>
              <w:autoSpaceDN w:val="0"/>
              <w:adjustRightInd w:val="0"/>
              <w:ind w:left="720" w:right="720"/>
              <w:textAlignment w:val="baseline"/>
              <w:rPr>
                <w:rFonts w:ascii="Arial" w:hAnsi="Arial" w:cs="Arial"/>
                <w:spacing w:val="-3"/>
                <w:sz w:val="22"/>
              </w:rPr>
            </w:pPr>
          </w:p>
          <w:p w14:paraId="3CE8E8B8" w14:textId="77777777" w:rsidR="00DD5E16" w:rsidRDefault="00DD5E16" w:rsidP="00DD5E16">
            <w:pPr>
              <w:pStyle w:val="ListParagraph"/>
              <w:widowControl w:val="0"/>
              <w:numPr>
                <w:ilvl w:val="0"/>
                <w:numId w:val="29"/>
              </w:numPr>
              <w:tabs>
                <w:tab w:val="left" w:pos="-720"/>
              </w:tabs>
              <w:suppressAutoHyphens/>
              <w:overflowPunct w:val="0"/>
              <w:autoSpaceDE w:val="0"/>
              <w:autoSpaceDN w:val="0"/>
              <w:adjustRightInd w:val="0"/>
              <w:ind w:right="720"/>
              <w:textAlignment w:val="baseline"/>
            </w:pPr>
            <w:r>
              <w:t>To support the administration of the Building Safety Levy (BSL), including the calculation and adjustment of BSL fee and liaison with approving bodies and the Council’s finance team in relation to the invoicing and collection of BSL.</w:t>
            </w:r>
          </w:p>
          <w:p w14:paraId="26C05E28" w14:textId="77777777" w:rsidR="00DD5E16" w:rsidRDefault="00DD5E16" w:rsidP="00DD5E16">
            <w:pPr>
              <w:widowControl w:val="0"/>
              <w:tabs>
                <w:tab w:val="left" w:pos="-720"/>
              </w:tabs>
              <w:suppressAutoHyphens/>
              <w:overflowPunct w:val="0"/>
              <w:autoSpaceDE w:val="0"/>
              <w:autoSpaceDN w:val="0"/>
              <w:adjustRightInd w:val="0"/>
              <w:ind w:left="720" w:right="720"/>
              <w:textAlignment w:val="baseline"/>
              <w:rPr>
                <w:rFonts w:ascii="Arial" w:hAnsi="Arial" w:cs="Arial"/>
                <w:spacing w:val="-3"/>
                <w:sz w:val="22"/>
              </w:rPr>
            </w:pPr>
          </w:p>
          <w:p w14:paraId="2B59FFF8" w14:textId="77777777" w:rsidR="0010772C" w:rsidRDefault="0010772C" w:rsidP="0010772C">
            <w:pPr>
              <w:widowControl w:val="0"/>
              <w:tabs>
                <w:tab w:val="left" w:pos="-720"/>
              </w:tabs>
              <w:suppressAutoHyphens/>
              <w:overflowPunct w:val="0"/>
              <w:autoSpaceDE w:val="0"/>
              <w:autoSpaceDN w:val="0"/>
              <w:adjustRightInd w:val="0"/>
              <w:ind w:left="360" w:right="720"/>
              <w:textAlignment w:val="baseline"/>
              <w:rPr>
                <w:rFonts w:ascii="Arial" w:hAnsi="Arial" w:cs="Arial"/>
                <w:spacing w:val="-3"/>
                <w:sz w:val="22"/>
              </w:rPr>
            </w:pPr>
          </w:p>
          <w:p w14:paraId="0546132E" w14:textId="2555ED6C" w:rsidR="005A7602" w:rsidRPr="0010772C" w:rsidRDefault="0010772C" w:rsidP="001051E3">
            <w:pPr>
              <w:pStyle w:val="ListParagraph"/>
              <w:widowControl w:val="0"/>
              <w:numPr>
                <w:ilvl w:val="0"/>
                <w:numId w:val="29"/>
              </w:numPr>
              <w:tabs>
                <w:tab w:val="left" w:pos="-720"/>
              </w:tabs>
              <w:suppressAutoHyphens/>
              <w:overflowPunct w:val="0"/>
              <w:autoSpaceDE w:val="0"/>
              <w:autoSpaceDN w:val="0"/>
              <w:adjustRightInd w:val="0"/>
              <w:ind w:right="720"/>
              <w:textAlignment w:val="baseline"/>
            </w:pPr>
            <w:r>
              <w:t>To maintain an effective system of financial control for the team, including fee checking, invoicing, pursuing non-payment of invoices, and maintenance of financial records, banking cheques, etc, in accordance with the Council’s financial regulations and in consultation with the Business Support Manager.</w:t>
            </w:r>
          </w:p>
          <w:p w14:paraId="2B729F37" w14:textId="7CC07637" w:rsidR="00D173AD" w:rsidRPr="006B4C05" w:rsidRDefault="0010772C" w:rsidP="00D173AD">
            <w:pPr>
              <w:widowControl w:val="0"/>
              <w:numPr>
                <w:ilvl w:val="0"/>
                <w:numId w:val="29"/>
              </w:numPr>
              <w:tabs>
                <w:tab w:val="left" w:pos="-720"/>
              </w:tabs>
              <w:suppressAutoHyphens/>
              <w:overflowPunct w:val="0"/>
              <w:autoSpaceDE w:val="0"/>
              <w:autoSpaceDN w:val="0"/>
              <w:adjustRightInd w:val="0"/>
              <w:ind w:right="720"/>
              <w:textAlignment w:val="baseline"/>
              <w:rPr>
                <w:rFonts w:ascii="Arial" w:hAnsi="Arial" w:cs="Arial"/>
                <w:spacing w:val="-3"/>
                <w:sz w:val="22"/>
                <w:szCs w:val="22"/>
              </w:rPr>
            </w:pPr>
            <w:r w:rsidRPr="0010772C">
              <w:rPr>
                <w:rFonts w:ascii="Arial" w:hAnsi="Arial" w:cs="Arial"/>
                <w:sz w:val="22"/>
                <w:szCs w:val="22"/>
              </w:rPr>
              <w:t>Assist those officers registered with the Building Standards Regulator to deliver locally and nationally recognised service standards, and their assessments and investigations associated with day-today caseload.</w:t>
            </w:r>
          </w:p>
          <w:p w14:paraId="7E8425B2" w14:textId="77777777" w:rsidR="006B4C05" w:rsidRPr="0010772C" w:rsidRDefault="006B4C05" w:rsidP="006B4C05">
            <w:pPr>
              <w:widowControl w:val="0"/>
              <w:tabs>
                <w:tab w:val="left" w:pos="-720"/>
              </w:tabs>
              <w:suppressAutoHyphens/>
              <w:overflowPunct w:val="0"/>
              <w:autoSpaceDE w:val="0"/>
              <w:autoSpaceDN w:val="0"/>
              <w:adjustRightInd w:val="0"/>
              <w:ind w:left="720" w:right="720"/>
              <w:textAlignment w:val="baseline"/>
              <w:rPr>
                <w:rFonts w:ascii="Arial" w:hAnsi="Arial" w:cs="Arial"/>
                <w:spacing w:val="-3"/>
                <w:sz w:val="22"/>
                <w:szCs w:val="22"/>
              </w:rPr>
            </w:pPr>
          </w:p>
          <w:p w14:paraId="12A65DE2" w14:textId="2EAAA792" w:rsidR="00D173AD" w:rsidRDefault="00D173AD" w:rsidP="00D173AD">
            <w:pPr>
              <w:widowControl w:val="0"/>
              <w:numPr>
                <w:ilvl w:val="0"/>
                <w:numId w:val="29"/>
              </w:numPr>
              <w:tabs>
                <w:tab w:val="left" w:pos="-720"/>
              </w:tabs>
              <w:suppressAutoHyphens/>
              <w:overflowPunct w:val="0"/>
              <w:autoSpaceDE w:val="0"/>
              <w:autoSpaceDN w:val="0"/>
              <w:adjustRightInd w:val="0"/>
              <w:ind w:right="720"/>
              <w:textAlignment w:val="baseline"/>
              <w:rPr>
                <w:rFonts w:ascii="Arial" w:hAnsi="Arial" w:cs="Arial"/>
                <w:spacing w:val="-3"/>
                <w:sz w:val="22"/>
              </w:rPr>
            </w:pPr>
            <w:r>
              <w:rPr>
                <w:rFonts w:ascii="Arial" w:hAnsi="Arial" w:cs="Arial"/>
                <w:spacing w:val="-3"/>
                <w:sz w:val="22"/>
              </w:rPr>
              <w:t xml:space="preserve">To carry out weekly office </w:t>
            </w:r>
            <w:r w:rsidR="006B4C05">
              <w:rPr>
                <w:rFonts w:ascii="Arial" w:hAnsi="Arial" w:cs="Arial"/>
                <w:spacing w:val="-3"/>
                <w:sz w:val="22"/>
              </w:rPr>
              <w:t>and telephone rota</w:t>
            </w:r>
            <w:r>
              <w:rPr>
                <w:rFonts w:ascii="Arial" w:hAnsi="Arial" w:cs="Arial"/>
                <w:spacing w:val="-3"/>
                <w:sz w:val="22"/>
              </w:rPr>
              <w:t xml:space="preserve"> duties including processing of post both incoming and outgoing, interrogation of microfiche records</w:t>
            </w:r>
            <w:r w:rsidR="006B4C05">
              <w:rPr>
                <w:rFonts w:ascii="Arial" w:hAnsi="Arial" w:cs="Arial"/>
                <w:spacing w:val="-3"/>
                <w:sz w:val="22"/>
              </w:rPr>
              <w:t>, answering service related telephone enquiries</w:t>
            </w:r>
            <w:r>
              <w:rPr>
                <w:rFonts w:ascii="Arial" w:hAnsi="Arial" w:cs="Arial"/>
                <w:spacing w:val="-3"/>
                <w:sz w:val="22"/>
              </w:rPr>
              <w:t xml:space="preserve"> and production of planning site notices.</w:t>
            </w:r>
          </w:p>
          <w:p w14:paraId="053EA4CD" w14:textId="77777777" w:rsidR="009E58A8" w:rsidRDefault="009E58A8" w:rsidP="009E58A8">
            <w:pPr>
              <w:widowControl w:val="0"/>
              <w:tabs>
                <w:tab w:val="left" w:pos="-720"/>
              </w:tabs>
              <w:suppressAutoHyphens/>
              <w:overflowPunct w:val="0"/>
              <w:autoSpaceDE w:val="0"/>
              <w:autoSpaceDN w:val="0"/>
              <w:adjustRightInd w:val="0"/>
              <w:ind w:left="360" w:right="720"/>
              <w:textAlignment w:val="baseline"/>
              <w:rPr>
                <w:rFonts w:ascii="Arial" w:hAnsi="Arial" w:cs="Arial"/>
                <w:spacing w:val="-3"/>
                <w:sz w:val="22"/>
              </w:rPr>
            </w:pPr>
          </w:p>
          <w:p w14:paraId="3DF14228" w14:textId="4DF1EFF5" w:rsidR="009E58A8" w:rsidRPr="009E58A8" w:rsidRDefault="009E58A8" w:rsidP="00D173AD">
            <w:pPr>
              <w:widowControl w:val="0"/>
              <w:numPr>
                <w:ilvl w:val="0"/>
                <w:numId w:val="29"/>
              </w:numPr>
              <w:tabs>
                <w:tab w:val="left" w:pos="-720"/>
              </w:tabs>
              <w:suppressAutoHyphens/>
              <w:overflowPunct w:val="0"/>
              <w:autoSpaceDE w:val="0"/>
              <w:autoSpaceDN w:val="0"/>
              <w:adjustRightInd w:val="0"/>
              <w:ind w:right="720"/>
              <w:textAlignment w:val="baseline"/>
              <w:rPr>
                <w:rFonts w:ascii="Arial" w:hAnsi="Arial" w:cs="Arial"/>
                <w:spacing w:val="-3"/>
                <w:sz w:val="24"/>
              </w:rPr>
            </w:pPr>
            <w:r w:rsidRPr="009E58A8">
              <w:rPr>
                <w:rFonts w:ascii="Arial" w:hAnsi="Arial" w:cs="Arial"/>
                <w:sz w:val="22"/>
              </w:rPr>
              <w:t xml:space="preserve">Ensure any reports of Dangerous structures are actioned immediately, ensuring all relevant data is captured to enable notification to be added as a case within the system and Building Control surveyors are </w:t>
            </w:r>
            <w:r>
              <w:rPr>
                <w:rFonts w:ascii="Arial" w:hAnsi="Arial" w:cs="Arial"/>
                <w:sz w:val="22"/>
              </w:rPr>
              <w:t>notified</w:t>
            </w:r>
            <w:r w:rsidRPr="009E58A8">
              <w:rPr>
                <w:rFonts w:ascii="Arial" w:hAnsi="Arial" w:cs="Arial"/>
                <w:sz w:val="22"/>
              </w:rPr>
              <w:t xml:space="preserve"> promptly.  This will also involve further investigative works to assist the building control surveying team.</w:t>
            </w:r>
            <w:r>
              <w:rPr>
                <w:rFonts w:ascii="Arial" w:hAnsi="Arial" w:cs="Arial"/>
                <w:sz w:val="22"/>
              </w:rPr>
              <w:br/>
            </w:r>
          </w:p>
          <w:p w14:paraId="729F7C2C" w14:textId="46C53DD9" w:rsidR="009E58A8" w:rsidRPr="009E58A8" w:rsidRDefault="009E58A8" w:rsidP="00D173AD">
            <w:pPr>
              <w:widowControl w:val="0"/>
              <w:numPr>
                <w:ilvl w:val="0"/>
                <w:numId w:val="29"/>
              </w:numPr>
              <w:tabs>
                <w:tab w:val="left" w:pos="-720"/>
              </w:tabs>
              <w:suppressAutoHyphens/>
              <w:overflowPunct w:val="0"/>
              <w:autoSpaceDE w:val="0"/>
              <w:autoSpaceDN w:val="0"/>
              <w:adjustRightInd w:val="0"/>
              <w:ind w:right="720"/>
              <w:textAlignment w:val="baseline"/>
              <w:rPr>
                <w:rFonts w:ascii="Arial" w:hAnsi="Arial" w:cs="Arial"/>
                <w:spacing w:val="-3"/>
                <w:sz w:val="28"/>
              </w:rPr>
            </w:pPr>
            <w:r w:rsidRPr="009E58A8">
              <w:rPr>
                <w:rFonts w:ascii="Arial" w:hAnsi="Arial" w:cs="Arial"/>
                <w:sz w:val="22"/>
              </w:rPr>
              <w:t>Responsible for the raising and issuing of Demolition Notices as required, including conducting an</w:t>
            </w:r>
            <w:r>
              <w:rPr>
                <w:rFonts w:ascii="Arial" w:hAnsi="Arial" w:cs="Arial"/>
                <w:sz w:val="22"/>
              </w:rPr>
              <w:t>y</w:t>
            </w:r>
            <w:r w:rsidRPr="009E58A8">
              <w:rPr>
                <w:rFonts w:ascii="Arial" w:hAnsi="Arial" w:cs="Arial"/>
                <w:sz w:val="22"/>
              </w:rPr>
              <w:t xml:space="preserve"> consultations as required by legislation or corporate policies</w:t>
            </w:r>
          </w:p>
          <w:p w14:paraId="667AC9DC" w14:textId="080573DF" w:rsidR="005A7602" w:rsidRPr="00A206E5" w:rsidRDefault="005A7602" w:rsidP="005A7602">
            <w:pPr>
              <w:pStyle w:val="Default"/>
              <w:rPr>
                <w:szCs w:val="22"/>
              </w:rPr>
            </w:pPr>
          </w:p>
          <w:p w14:paraId="45F7BF16" w14:textId="21973F74" w:rsidR="00A206E5" w:rsidRDefault="00A206E5" w:rsidP="00A206E5">
            <w:pPr>
              <w:widowControl w:val="0"/>
              <w:numPr>
                <w:ilvl w:val="0"/>
                <w:numId w:val="36"/>
              </w:numPr>
              <w:tabs>
                <w:tab w:val="left" w:pos="-720"/>
              </w:tabs>
              <w:suppressAutoHyphens/>
              <w:overflowPunct w:val="0"/>
              <w:autoSpaceDE w:val="0"/>
              <w:autoSpaceDN w:val="0"/>
              <w:adjustRightInd w:val="0"/>
              <w:ind w:right="720"/>
              <w:textAlignment w:val="baseline"/>
              <w:rPr>
                <w:rFonts w:ascii="Arial" w:hAnsi="Arial" w:cs="Arial"/>
                <w:spacing w:val="-3"/>
                <w:sz w:val="22"/>
              </w:rPr>
            </w:pPr>
            <w:r w:rsidRPr="00A206E5">
              <w:rPr>
                <w:rFonts w:ascii="Arial" w:hAnsi="Arial" w:cs="Arial"/>
                <w:spacing w:val="-3"/>
                <w:sz w:val="22"/>
              </w:rPr>
              <w:t>To ensure all statutory registers and service related information/data (including spatial data) are accurate and in accordance with data protection.</w:t>
            </w:r>
          </w:p>
          <w:p w14:paraId="4269FB50" w14:textId="77777777" w:rsidR="008C6341" w:rsidRDefault="008C6341" w:rsidP="008C6341">
            <w:pPr>
              <w:widowControl w:val="0"/>
              <w:tabs>
                <w:tab w:val="left" w:pos="-720"/>
              </w:tabs>
              <w:suppressAutoHyphens/>
              <w:overflowPunct w:val="0"/>
              <w:autoSpaceDE w:val="0"/>
              <w:autoSpaceDN w:val="0"/>
              <w:adjustRightInd w:val="0"/>
              <w:ind w:left="360" w:right="720"/>
              <w:textAlignment w:val="baseline"/>
              <w:rPr>
                <w:rFonts w:ascii="Arial" w:hAnsi="Arial" w:cs="Arial"/>
                <w:spacing w:val="-3"/>
                <w:sz w:val="22"/>
              </w:rPr>
            </w:pPr>
          </w:p>
          <w:p w14:paraId="66A3D302" w14:textId="68583187" w:rsidR="008C6341" w:rsidRPr="008C6341" w:rsidRDefault="008C6341" w:rsidP="00A206E5">
            <w:pPr>
              <w:widowControl w:val="0"/>
              <w:numPr>
                <w:ilvl w:val="0"/>
                <w:numId w:val="36"/>
              </w:numPr>
              <w:tabs>
                <w:tab w:val="left" w:pos="-720"/>
              </w:tabs>
              <w:suppressAutoHyphens/>
              <w:overflowPunct w:val="0"/>
              <w:autoSpaceDE w:val="0"/>
              <w:autoSpaceDN w:val="0"/>
              <w:adjustRightInd w:val="0"/>
              <w:ind w:right="720"/>
              <w:textAlignment w:val="baseline"/>
              <w:rPr>
                <w:rFonts w:ascii="Arial" w:hAnsi="Arial" w:cs="Arial"/>
                <w:spacing w:val="-3"/>
                <w:sz w:val="24"/>
              </w:rPr>
            </w:pPr>
            <w:r w:rsidRPr="008C6341">
              <w:rPr>
                <w:rFonts w:ascii="Arial" w:hAnsi="Arial" w:cs="Arial"/>
                <w:sz w:val="22"/>
              </w:rPr>
              <w:t>Support with the collation of KPI data and create reports for the Building Safety Regulator in line with the provisions and legal requirements of the Building Safety Act</w:t>
            </w:r>
          </w:p>
          <w:p w14:paraId="5C3D0187" w14:textId="77777777" w:rsidR="005A7602" w:rsidRDefault="005A7602" w:rsidP="005A7602">
            <w:pPr>
              <w:pStyle w:val="Default"/>
              <w:rPr>
                <w:sz w:val="22"/>
                <w:szCs w:val="22"/>
              </w:rPr>
            </w:pPr>
          </w:p>
          <w:p w14:paraId="313786D3" w14:textId="6C9BFFA9" w:rsidR="005A7602" w:rsidRDefault="005A7602" w:rsidP="00A206E5">
            <w:pPr>
              <w:pStyle w:val="Default"/>
              <w:numPr>
                <w:ilvl w:val="0"/>
                <w:numId w:val="29"/>
              </w:numPr>
              <w:rPr>
                <w:sz w:val="22"/>
                <w:szCs w:val="22"/>
              </w:rPr>
            </w:pPr>
            <w:r>
              <w:rPr>
                <w:sz w:val="22"/>
                <w:szCs w:val="22"/>
              </w:rPr>
              <w:t xml:space="preserve">Maintain the general email correspondence received by the section in a timely and professional manner. </w:t>
            </w:r>
          </w:p>
          <w:p w14:paraId="37ABD69A" w14:textId="77777777" w:rsidR="008C6341" w:rsidRDefault="008C6341" w:rsidP="008C6341">
            <w:pPr>
              <w:pStyle w:val="Default"/>
              <w:ind w:left="360"/>
              <w:rPr>
                <w:sz w:val="22"/>
                <w:szCs w:val="22"/>
              </w:rPr>
            </w:pPr>
          </w:p>
          <w:p w14:paraId="60190A20" w14:textId="324CF66B" w:rsidR="008C6341" w:rsidRPr="008C6341" w:rsidRDefault="008C6341" w:rsidP="00A206E5">
            <w:pPr>
              <w:pStyle w:val="Default"/>
              <w:numPr>
                <w:ilvl w:val="0"/>
                <w:numId w:val="29"/>
              </w:numPr>
              <w:rPr>
                <w:sz w:val="20"/>
                <w:szCs w:val="22"/>
              </w:rPr>
            </w:pPr>
            <w:r w:rsidRPr="008C6341">
              <w:rPr>
                <w:sz w:val="22"/>
              </w:rPr>
              <w:t>Completing Building Control questions on the CON 29 Local Land Charges Searches and dealing with Personal Searches</w:t>
            </w:r>
          </w:p>
          <w:p w14:paraId="3A46CDAB" w14:textId="549CF34A" w:rsidR="005A7602" w:rsidRDefault="005A7602" w:rsidP="005A7602">
            <w:pPr>
              <w:pStyle w:val="Default"/>
              <w:rPr>
                <w:sz w:val="22"/>
                <w:szCs w:val="22"/>
              </w:rPr>
            </w:pPr>
          </w:p>
          <w:p w14:paraId="494CE71F" w14:textId="5692ECF9" w:rsidR="005A7602" w:rsidRDefault="005A7602" w:rsidP="00A206E5">
            <w:pPr>
              <w:pStyle w:val="Default"/>
              <w:numPr>
                <w:ilvl w:val="0"/>
                <w:numId w:val="29"/>
              </w:numPr>
              <w:rPr>
                <w:sz w:val="22"/>
                <w:szCs w:val="22"/>
              </w:rPr>
            </w:pPr>
            <w:r>
              <w:rPr>
                <w:sz w:val="22"/>
                <w:szCs w:val="22"/>
              </w:rPr>
              <w:t xml:space="preserve">To carry out such other duties as may be directed by the Head of Planning. </w:t>
            </w:r>
          </w:p>
          <w:p w14:paraId="264B6D79" w14:textId="77777777" w:rsidR="005A7602" w:rsidRDefault="005A7602" w:rsidP="005A7602">
            <w:pPr>
              <w:pStyle w:val="Default"/>
              <w:rPr>
                <w:sz w:val="22"/>
                <w:szCs w:val="22"/>
              </w:rPr>
            </w:pPr>
          </w:p>
          <w:p w14:paraId="0C083C5D" w14:textId="3752EA2B" w:rsidR="008C6341" w:rsidRDefault="005A7602" w:rsidP="0065723C">
            <w:pPr>
              <w:pStyle w:val="Default"/>
              <w:numPr>
                <w:ilvl w:val="0"/>
                <w:numId w:val="29"/>
              </w:numPr>
              <w:rPr>
                <w:sz w:val="22"/>
                <w:szCs w:val="22"/>
              </w:rPr>
            </w:pPr>
            <w:r>
              <w:rPr>
                <w:sz w:val="22"/>
                <w:szCs w:val="22"/>
              </w:rPr>
              <w:t xml:space="preserve">To comply with Health and Safety legislation and the Council’s policies </w:t>
            </w:r>
            <w:r w:rsidR="008C6341">
              <w:rPr>
                <w:sz w:val="22"/>
                <w:szCs w:val="22"/>
              </w:rPr>
              <w:br/>
            </w:r>
          </w:p>
          <w:p w14:paraId="78B601C1" w14:textId="4C74D97A" w:rsidR="008C6341" w:rsidRDefault="008C6341" w:rsidP="00A206E5">
            <w:pPr>
              <w:pStyle w:val="Default"/>
              <w:numPr>
                <w:ilvl w:val="0"/>
                <w:numId w:val="29"/>
              </w:numPr>
              <w:rPr>
                <w:sz w:val="22"/>
                <w:szCs w:val="22"/>
              </w:rPr>
            </w:pPr>
            <w:r w:rsidRPr="008C6341">
              <w:rPr>
                <w:sz w:val="22"/>
              </w:rPr>
              <w:t>Maintain appropriate work records relating to the work within the area to the required service standards, in accordance with the principles of data protection and associated confidentiality rules and procedures</w:t>
            </w:r>
            <w:r>
              <w:t>.</w:t>
            </w:r>
          </w:p>
          <w:p w14:paraId="2226AA5F" w14:textId="77777777" w:rsidR="005A7602" w:rsidRDefault="005A7602" w:rsidP="005A7602">
            <w:pPr>
              <w:pStyle w:val="Default"/>
              <w:rPr>
                <w:sz w:val="22"/>
                <w:szCs w:val="22"/>
              </w:rPr>
            </w:pPr>
          </w:p>
          <w:p w14:paraId="4062B73C" w14:textId="51179ED7" w:rsidR="005A7602" w:rsidRDefault="005A7602" w:rsidP="00A206E5">
            <w:pPr>
              <w:pStyle w:val="Default"/>
              <w:numPr>
                <w:ilvl w:val="0"/>
                <w:numId w:val="29"/>
              </w:numPr>
              <w:rPr>
                <w:sz w:val="22"/>
                <w:szCs w:val="22"/>
              </w:rPr>
            </w:pPr>
            <w:r>
              <w:rPr>
                <w:sz w:val="22"/>
                <w:szCs w:val="22"/>
              </w:rPr>
              <w:t xml:space="preserve">To comply with the Council’s policies and regulations. </w:t>
            </w:r>
          </w:p>
          <w:p w14:paraId="61206335" w14:textId="77777777" w:rsidR="00F871CF" w:rsidRDefault="00F871CF" w:rsidP="006C4666">
            <w:pPr>
              <w:pStyle w:val="NoSpacing"/>
              <w:jc w:val="both"/>
              <w:rPr>
                <w:rFonts w:ascii="Arial" w:hAnsi="Arial" w:cs="Arial"/>
              </w:rPr>
            </w:pPr>
          </w:p>
          <w:p w14:paraId="5EF5F70D" w14:textId="51A503E0" w:rsidR="00DA2EA9" w:rsidRPr="006C4666" w:rsidRDefault="003F43E2" w:rsidP="008C6341">
            <w:pPr>
              <w:pStyle w:val="NoSpacing"/>
              <w:numPr>
                <w:ilvl w:val="0"/>
                <w:numId w:val="29"/>
              </w:numPr>
              <w:jc w:val="both"/>
              <w:rPr>
                <w:rFonts w:ascii="Arial" w:hAnsi="Arial" w:cs="Arial"/>
                <w:sz w:val="20"/>
                <w:szCs w:val="20"/>
              </w:rPr>
            </w:pPr>
            <w:r w:rsidRPr="00A2179A">
              <w:rPr>
                <w:rFonts w:ascii="Arial" w:hAnsi="Arial" w:cs="Arial"/>
              </w:rPr>
              <w:t xml:space="preserve">The duties may vary from time to time without changing the nature of the post or the level of responsibility, and the post holder </w:t>
            </w:r>
            <w:r w:rsidR="008C6341">
              <w:rPr>
                <w:rFonts w:ascii="Arial" w:hAnsi="Arial" w:cs="Arial"/>
              </w:rPr>
              <w:t>will</w:t>
            </w:r>
            <w:r w:rsidRPr="00A2179A">
              <w:rPr>
                <w:rFonts w:ascii="Arial" w:hAnsi="Arial" w:cs="Arial"/>
              </w:rPr>
              <w:t xml:space="preserve"> also be required to carry out any other duties appropriate to the grading of the post</w:t>
            </w:r>
            <w:r w:rsidR="008C6341">
              <w:rPr>
                <w:rFonts w:ascii="Arial" w:hAnsi="Arial" w:cs="Arial"/>
              </w:rPr>
              <w:t xml:space="preserve"> to support the wider Planning Service</w:t>
            </w:r>
            <w:r w:rsidRPr="00A2179A">
              <w:rPr>
                <w:rFonts w:ascii="Arial" w:hAnsi="Arial" w:cs="Arial"/>
              </w:rPr>
              <w: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lastRenderedPageBreak/>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2DC9D480" w:rsidR="00DA2EA9" w:rsidRPr="006B4056" w:rsidRDefault="00B310FD" w:rsidP="006B4056">
            <w:pPr>
              <w:pStyle w:val="ListParagraph"/>
              <w:numPr>
                <w:ilvl w:val="0"/>
                <w:numId w:val="26"/>
              </w:numPr>
              <w:rPr>
                <w:rFonts w:eastAsiaTheme="minorHAnsi"/>
                <w:bCs/>
              </w:rPr>
            </w:pPr>
            <w:r>
              <w:t>Achieving at least 5 GCSE qualifications, including Maths and English</w:t>
            </w:r>
            <w:r w:rsidR="00E076AB" w:rsidRPr="00E076AB">
              <w:t xml:space="preserve"> </w:t>
            </w:r>
          </w:p>
          <w:p w14:paraId="32E9FDA7" w14:textId="4381EAB9" w:rsidR="006B4056" w:rsidRDefault="006B4056" w:rsidP="006B4056">
            <w:pPr>
              <w:rPr>
                <w:rFonts w:eastAsiaTheme="minorHAnsi"/>
                <w:bCs/>
              </w:rPr>
            </w:pPr>
          </w:p>
          <w:p w14:paraId="6A1696C4" w14:textId="77777777" w:rsidR="006B4056" w:rsidRPr="006B4056" w:rsidRDefault="006B4056" w:rsidP="006B4056">
            <w:pPr>
              <w:rPr>
                <w:rFonts w:eastAsiaTheme="minorHAnsi"/>
                <w:bCs/>
              </w:rPr>
            </w:pPr>
          </w:p>
          <w:p w14:paraId="392FC721" w14:textId="77777777" w:rsidR="004A55FD" w:rsidRPr="00DA2EA9" w:rsidRDefault="004A55FD" w:rsidP="00E076AB">
            <w:pPr>
              <w:pStyle w:val="ListParagraph"/>
              <w:ind w:left="780"/>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0EEC03DC" w14:textId="205DD1E0" w:rsidR="006B4056" w:rsidRPr="006B4056" w:rsidRDefault="006B4056" w:rsidP="00C42ECD">
            <w:pPr>
              <w:pStyle w:val="ListParagraph"/>
              <w:numPr>
                <w:ilvl w:val="0"/>
                <w:numId w:val="26"/>
              </w:numPr>
              <w:rPr>
                <w:bCs/>
                <w:szCs w:val="20"/>
              </w:rPr>
            </w:pPr>
            <w:r>
              <w:t>H</w:t>
            </w:r>
            <w:r w:rsidRPr="00E076AB">
              <w:t>av</w:t>
            </w:r>
            <w:r>
              <w:t>e</w:t>
            </w:r>
            <w:r w:rsidRPr="00E076AB">
              <w:t xml:space="preserve"> </w:t>
            </w:r>
            <w:r>
              <w:t>a proven working knowledge</w:t>
            </w:r>
            <w:r w:rsidRPr="00E076AB">
              <w:t xml:space="preserve"> </w:t>
            </w:r>
            <w:r>
              <w:t>of</w:t>
            </w:r>
            <w:r w:rsidRPr="00E076AB">
              <w:t xml:space="preserve"> a </w:t>
            </w:r>
            <w:r>
              <w:t>building control</w:t>
            </w:r>
            <w:r w:rsidRPr="00E076AB">
              <w:t xml:space="preserve"> environment</w:t>
            </w:r>
            <w:r>
              <w:t>.</w:t>
            </w:r>
            <w:r>
              <w:br/>
            </w:r>
          </w:p>
          <w:p w14:paraId="71AD8378" w14:textId="57BF2FF8" w:rsidR="006B4056" w:rsidRPr="006B4056" w:rsidRDefault="006B4056" w:rsidP="00C42ECD">
            <w:pPr>
              <w:pStyle w:val="ListParagraph"/>
              <w:numPr>
                <w:ilvl w:val="0"/>
                <w:numId w:val="26"/>
              </w:numPr>
              <w:rPr>
                <w:bCs/>
                <w:szCs w:val="20"/>
              </w:rPr>
            </w:pPr>
            <w:r>
              <w:t>Understanding of Building Control application Legislation, can explain the purpose of why there is a building control service and its main objectives</w:t>
            </w:r>
          </w:p>
          <w:p w14:paraId="3D1F2E28" w14:textId="0441C751" w:rsidR="006B4056" w:rsidRPr="006B4056" w:rsidRDefault="00D00EA3" w:rsidP="006B4056">
            <w:pPr>
              <w:pStyle w:val="NoSpacing"/>
              <w:numPr>
                <w:ilvl w:val="0"/>
                <w:numId w:val="26"/>
              </w:numPr>
              <w:rPr>
                <w:rFonts w:ascii="Arial" w:hAnsi="Arial" w:cs="Arial"/>
                <w:bCs/>
                <w:szCs w:val="20"/>
              </w:rPr>
            </w:pPr>
            <w:r w:rsidRPr="00D00EA3">
              <w:rPr>
                <w:rFonts w:ascii="Arial" w:hAnsi="Arial" w:cs="Arial"/>
                <w:szCs w:val="20"/>
              </w:rPr>
              <w:t>Experience of working with systems and ICT to process applications</w:t>
            </w:r>
          </w:p>
          <w:p w14:paraId="6A882E1D" w14:textId="77777777" w:rsidR="006B4056" w:rsidRPr="006B4056" w:rsidRDefault="006B4056" w:rsidP="006B4056">
            <w:pPr>
              <w:pStyle w:val="NoSpacing"/>
              <w:ind w:left="420"/>
              <w:rPr>
                <w:rFonts w:ascii="Arial" w:hAnsi="Arial" w:cs="Arial"/>
                <w:bCs/>
                <w:szCs w:val="20"/>
              </w:rPr>
            </w:pPr>
          </w:p>
          <w:p w14:paraId="732743C6" w14:textId="595CF725" w:rsidR="00D00EA3" w:rsidRPr="006B4056" w:rsidRDefault="006B4056" w:rsidP="006B4056">
            <w:pPr>
              <w:pStyle w:val="NoSpacing"/>
              <w:numPr>
                <w:ilvl w:val="0"/>
                <w:numId w:val="26"/>
              </w:numPr>
              <w:rPr>
                <w:rFonts w:ascii="Arial" w:hAnsi="Arial" w:cs="Arial"/>
                <w:bCs/>
                <w:szCs w:val="20"/>
              </w:rPr>
            </w:pPr>
            <w:r w:rsidRPr="006B4056">
              <w:rPr>
                <w:rFonts w:ascii="Arial" w:hAnsi="Arial" w:cs="Arial"/>
              </w:rPr>
              <w:t xml:space="preserve">Attention to detail, </w:t>
            </w:r>
            <w:r>
              <w:rPr>
                <w:rFonts w:ascii="Arial" w:hAnsi="Arial" w:cs="Arial"/>
              </w:rPr>
              <w:t>e</w:t>
            </w:r>
            <w:r w:rsidRPr="006B4056">
              <w:rPr>
                <w:rFonts w:ascii="Arial" w:hAnsi="Arial" w:cs="Arial"/>
              </w:rPr>
              <w:t>xceptional data entry skills and checking of information supplied</w:t>
            </w:r>
            <w:r w:rsidR="00D00EA3" w:rsidRPr="006B4056">
              <w:rPr>
                <w:rFonts w:ascii="Arial" w:hAnsi="Arial" w:cs="Arial"/>
                <w:sz w:val="24"/>
              </w:rPr>
              <w:t xml:space="preserve"> </w:t>
            </w:r>
          </w:p>
          <w:p w14:paraId="29C013AE" w14:textId="77777777" w:rsidR="00D00EA3" w:rsidRPr="00D00EA3" w:rsidRDefault="00D00EA3" w:rsidP="00D00EA3">
            <w:pPr>
              <w:pStyle w:val="NoSpacing"/>
              <w:ind w:left="780"/>
              <w:rPr>
                <w:rFonts w:ascii="Arial" w:hAnsi="Arial" w:cs="Arial"/>
                <w:bCs/>
                <w:sz w:val="20"/>
                <w:szCs w:val="20"/>
              </w:rPr>
            </w:pPr>
          </w:p>
          <w:p w14:paraId="69B19F74" w14:textId="7B7C85D5" w:rsidR="00F56885" w:rsidRPr="00E076AB" w:rsidRDefault="00E076AB" w:rsidP="006B4056">
            <w:pPr>
              <w:pStyle w:val="NoSpacing"/>
              <w:numPr>
                <w:ilvl w:val="0"/>
                <w:numId w:val="26"/>
              </w:numPr>
              <w:rPr>
                <w:rFonts w:ascii="Arial" w:hAnsi="Arial" w:cs="Arial"/>
                <w:bCs/>
                <w:sz w:val="20"/>
                <w:szCs w:val="20"/>
              </w:rPr>
            </w:pPr>
            <w:r w:rsidRPr="00E076AB">
              <w:rPr>
                <w:rFonts w:ascii="Arial" w:hAnsi="Arial" w:cs="Arial"/>
              </w:rPr>
              <w:t>Experience of working as part of a small, dedicated team that successfully addresses challenging issues and deadlines</w:t>
            </w:r>
            <w:r>
              <w:rPr>
                <w:rFonts w:ascii="Arial" w:hAnsi="Arial" w:cs="Arial"/>
              </w:rPr>
              <w:br/>
            </w:r>
          </w:p>
          <w:p w14:paraId="6C4B7CBF" w14:textId="77777777" w:rsidR="00E076AB" w:rsidRPr="00623483" w:rsidRDefault="00E076AB" w:rsidP="006B4056">
            <w:pPr>
              <w:pStyle w:val="Default"/>
              <w:numPr>
                <w:ilvl w:val="0"/>
                <w:numId w:val="26"/>
              </w:numPr>
              <w:rPr>
                <w:sz w:val="22"/>
                <w:szCs w:val="22"/>
              </w:rPr>
            </w:pPr>
            <w:r w:rsidRPr="00623483">
              <w:rPr>
                <w:sz w:val="22"/>
                <w:szCs w:val="22"/>
              </w:rPr>
              <w:t xml:space="preserve">The ability to effectively and efficiently manage work and meet competing deadlines and priorities </w:t>
            </w:r>
          </w:p>
          <w:p w14:paraId="26FDA659" w14:textId="77777777" w:rsidR="00E076AB" w:rsidRPr="00623483" w:rsidRDefault="00E076AB" w:rsidP="00E076AB">
            <w:pPr>
              <w:pStyle w:val="Default"/>
              <w:rPr>
                <w:sz w:val="22"/>
                <w:szCs w:val="22"/>
              </w:rPr>
            </w:pPr>
          </w:p>
          <w:p w14:paraId="6BE35AA7" w14:textId="77777777" w:rsidR="00E076AB" w:rsidRPr="00623483" w:rsidRDefault="00E076AB" w:rsidP="006B4056">
            <w:pPr>
              <w:pStyle w:val="Default"/>
              <w:numPr>
                <w:ilvl w:val="0"/>
                <w:numId w:val="26"/>
              </w:numPr>
              <w:rPr>
                <w:sz w:val="22"/>
                <w:szCs w:val="22"/>
              </w:rPr>
            </w:pPr>
            <w:r w:rsidRPr="00623483">
              <w:rPr>
                <w:sz w:val="22"/>
                <w:szCs w:val="22"/>
              </w:rPr>
              <w:t xml:space="preserve">Excellent communication and interpersonal skills including the ability to clearly and accurately convey information both verbally and in writing. </w:t>
            </w:r>
          </w:p>
          <w:p w14:paraId="0C19ACF6" w14:textId="77777777" w:rsidR="00E076AB" w:rsidRPr="00623483" w:rsidRDefault="00E076AB" w:rsidP="00E076AB">
            <w:pPr>
              <w:pStyle w:val="Default"/>
              <w:rPr>
                <w:sz w:val="22"/>
                <w:szCs w:val="22"/>
              </w:rPr>
            </w:pPr>
          </w:p>
          <w:p w14:paraId="500D093F" w14:textId="77777777" w:rsidR="00E076AB" w:rsidRPr="00623483" w:rsidRDefault="00E076AB" w:rsidP="006B4056">
            <w:pPr>
              <w:pStyle w:val="Default"/>
              <w:numPr>
                <w:ilvl w:val="0"/>
                <w:numId w:val="26"/>
              </w:numPr>
              <w:rPr>
                <w:sz w:val="22"/>
                <w:szCs w:val="22"/>
              </w:rPr>
            </w:pPr>
            <w:r w:rsidRPr="00623483">
              <w:rPr>
                <w:sz w:val="22"/>
                <w:szCs w:val="22"/>
              </w:rPr>
              <w:t xml:space="preserve">Excellent organisational skills </w:t>
            </w:r>
          </w:p>
          <w:p w14:paraId="1F28925A" w14:textId="77777777" w:rsidR="00E076AB" w:rsidRPr="00623483" w:rsidRDefault="00E076AB" w:rsidP="00E076AB">
            <w:pPr>
              <w:pStyle w:val="Default"/>
              <w:rPr>
                <w:sz w:val="22"/>
                <w:szCs w:val="22"/>
              </w:rPr>
            </w:pPr>
          </w:p>
          <w:p w14:paraId="72833FB7" w14:textId="77777777" w:rsidR="00E076AB" w:rsidRPr="00623483" w:rsidRDefault="00E076AB" w:rsidP="006B4056">
            <w:pPr>
              <w:pStyle w:val="Default"/>
              <w:numPr>
                <w:ilvl w:val="0"/>
                <w:numId w:val="26"/>
              </w:numPr>
              <w:rPr>
                <w:sz w:val="22"/>
                <w:szCs w:val="22"/>
              </w:rPr>
            </w:pPr>
            <w:r w:rsidRPr="00623483">
              <w:rPr>
                <w:sz w:val="22"/>
                <w:szCs w:val="22"/>
              </w:rPr>
              <w:t xml:space="preserve">Excellent IT skills with advanced knowledge of Microsoft Word, Excel and PowerPoint and ability to use GIS to store, retrieve and analyse data. </w:t>
            </w:r>
          </w:p>
          <w:p w14:paraId="30303216" w14:textId="77777777" w:rsidR="00E076AB" w:rsidRPr="00623483" w:rsidRDefault="00E076AB" w:rsidP="00E076AB">
            <w:pPr>
              <w:pStyle w:val="Default"/>
              <w:rPr>
                <w:sz w:val="22"/>
                <w:szCs w:val="22"/>
              </w:rPr>
            </w:pPr>
          </w:p>
          <w:p w14:paraId="43FE5154" w14:textId="77777777" w:rsidR="00E076AB" w:rsidRDefault="00E076AB" w:rsidP="006B4056">
            <w:pPr>
              <w:pStyle w:val="Default"/>
              <w:numPr>
                <w:ilvl w:val="0"/>
                <w:numId w:val="26"/>
              </w:numPr>
              <w:rPr>
                <w:sz w:val="22"/>
                <w:szCs w:val="22"/>
              </w:rPr>
            </w:pPr>
            <w:r w:rsidRPr="00623483">
              <w:rPr>
                <w:sz w:val="22"/>
                <w:szCs w:val="22"/>
              </w:rPr>
              <w:t xml:space="preserve">Confidence and ability to apply IT skills in an innovative manner in order to secure solutions to defined problems. </w:t>
            </w:r>
          </w:p>
          <w:p w14:paraId="11876A8F" w14:textId="77777777" w:rsidR="00E076AB" w:rsidRDefault="00E076AB" w:rsidP="00E076AB">
            <w:pPr>
              <w:pStyle w:val="Default"/>
              <w:ind w:left="420"/>
              <w:rPr>
                <w:sz w:val="22"/>
                <w:szCs w:val="22"/>
              </w:rPr>
            </w:pPr>
          </w:p>
          <w:p w14:paraId="479630E2" w14:textId="369F1F7A" w:rsidR="00E076AB" w:rsidRPr="00623483" w:rsidRDefault="00E076AB" w:rsidP="006B4056">
            <w:pPr>
              <w:pStyle w:val="Default"/>
              <w:numPr>
                <w:ilvl w:val="0"/>
                <w:numId w:val="26"/>
              </w:numPr>
              <w:rPr>
                <w:sz w:val="22"/>
                <w:szCs w:val="22"/>
              </w:rPr>
            </w:pPr>
            <w:r w:rsidRPr="00623483">
              <w:rPr>
                <w:sz w:val="22"/>
                <w:szCs w:val="22"/>
              </w:rPr>
              <w:t xml:space="preserve">Demonstrate high levels of care, accuracy, confidentiality and/or security when handling information. </w:t>
            </w:r>
          </w:p>
          <w:p w14:paraId="67DE332D" w14:textId="77777777" w:rsidR="00E076AB" w:rsidRPr="00623483" w:rsidRDefault="00E076AB" w:rsidP="00E076AB">
            <w:pPr>
              <w:pStyle w:val="Default"/>
              <w:rPr>
                <w:sz w:val="22"/>
                <w:szCs w:val="22"/>
              </w:rPr>
            </w:pPr>
          </w:p>
          <w:p w14:paraId="525E46D3" w14:textId="77777777" w:rsidR="00E076AB" w:rsidRPr="00623483" w:rsidRDefault="00E076AB" w:rsidP="006B4056">
            <w:pPr>
              <w:pStyle w:val="Default"/>
              <w:numPr>
                <w:ilvl w:val="0"/>
                <w:numId w:val="26"/>
              </w:numPr>
              <w:rPr>
                <w:sz w:val="22"/>
                <w:szCs w:val="22"/>
              </w:rPr>
            </w:pPr>
            <w:r w:rsidRPr="00623483">
              <w:rPr>
                <w:sz w:val="22"/>
                <w:szCs w:val="22"/>
              </w:rPr>
              <w:t xml:space="preserve">Ability to provide support and assistance to range of customers, sometimes in challenging situations </w:t>
            </w:r>
          </w:p>
          <w:p w14:paraId="05CFE1B3" w14:textId="77777777" w:rsidR="00E076AB" w:rsidRPr="00623483" w:rsidRDefault="00E076AB" w:rsidP="00E076AB">
            <w:pPr>
              <w:pStyle w:val="Default"/>
              <w:rPr>
                <w:sz w:val="22"/>
                <w:szCs w:val="22"/>
              </w:rPr>
            </w:pPr>
          </w:p>
          <w:p w14:paraId="68C1C265" w14:textId="77777777" w:rsidR="00E076AB" w:rsidRPr="00E076AB" w:rsidRDefault="00E076AB" w:rsidP="00E076AB">
            <w:pPr>
              <w:pStyle w:val="NoSpacing"/>
              <w:ind w:left="780"/>
              <w:rPr>
                <w:rFonts w:ascii="Arial" w:hAnsi="Arial" w:cs="Arial"/>
                <w:bCs/>
                <w:sz w:val="20"/>
                <w:szCs w:val="20"/>
              </w:rPr>
            </w:pP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3EB9BBC3" w14:textId="219D120E" w:rsidR="006B4056" w:rsidRPr="006B4056" w:rsidRDefault="006B4056" w:rsidP="006B4056">
            <w:pPr>
              <w:pStyle w:val="Default"/>
              <w:numPr>
                <w:ilvl w:val="0"/>
                <w:numId w:val="26"/>
              </w:numPr>
              <w:rPr>
                <w:sz w:val="20"/>
                <w:szCs w:val="22"/>
              </w:rPr>
            </w:pPr>
            <w:r w:rsidRPr="006B4056">
              <w:rPr>
                <w:sz w:val="22"/>
              </w:rPr>
              <w:t>Completion (or attaining) LABC Level 3 Certification, Building Control Technical Support</w:t>
            </w:r>
          </w:p>
          <w:p w14:paraId="21CA7762" w14:textId="77777777" w:rsidR="006B4056" w:rsidRPr="006B4056" w:rsidRDefault="006B4056" w:rsidP="006B4056">
            <w:pPr>
              <w:pStyle w:val="Default"/>
              <w:ind w:left="420"/>
              <w:rPr>
                <w:sz w:val="20"/>
                <w:szCs w:val="22"/>
              </w:rPr>
            </w:pPr>
          </w:p>
          <w:p w14:paraId="6DF01911" w14:textId="4BD8BA7E" w:rsidR="00CE3350" w:rsidRDefault="00CE3350" w:rsidP="006B4056">
            <w:pPr>
              <w:pStyle w:val="ListParagraph"/>
              <w:numPr>
                <w:ilvl w:val="0"/>
                <w:numId w:val="26"/>
              </w:numPr>
            </w:pPr>
            <w:r w:rsidRPr="00623483">
              <w:t xml:space="preserve">Experience of </w:t>
            </w:r>
            <w:r w:rsidR="00D00EA3">
              <w:t>Project Management</w:t>
            </w:r>
          </w:p>
          <w:p w14:paraId="5FEBEEF5" w14:textId="77777777" w:rsidR="00CE3350" w:rsidRDefault="00CE3350" w:rsidP="00CE3350">
            <w:pPr>
              <w:pStyle w:val="ListParagraph"/>
            </w:pPr>
          </w:p>
          <w:p w14:paraId="30D20561" w14:textId="4FF2307F" w:rsidR="00CE3350" w:rsidRDefault="00D00EA3" w:rsidP="006B4056">
            <w:pPr>
              <w:pStyle w:val="ListParagraph"/>
              <w:numPr>
                <w:ilvl w:val="0"/>
                <w:numId w:val="26"/>
              </w:numPr>
            </w:pPr>
            <w:r>
              <w:lastRenderedPageBreak/>
              <w:t>Working knowledge of Planning and Building Control IT solutions (preferably Idox) and electronic document management systems.</w:t>
            </w:r>
          </w:p>
          <w:p w14:paraId="510D0653" w14:textId="77777777" w:rsidR="00CE3350" w:rsidRDefault="00CE3350" w:rsidP="00CE3350">
            <w:pPr>
              <w:pStyle w:val="ListParagraph"/>
            </w:pPr>
          </w:p>
          <w:p w14:paraId="1658359A" w14:textId="5BD16FFD" w:rsidR="00CE3350" w:rsidRDefault="00CE3350" w:rsidP="006B4056">
            <w:pPr>
              <w:pStyle w:val="ListParagraph"/>
              <w:numPr>
                <w:ilvl w:val="0"/>
                <w:numId w:val="26"/>
              </w:numPr>
            </w:pPr>
            <w:r w:rsidRPr="007B4CA0">
              <w:t>Understanding of the roles of elected Members</w:t>
            </w:r>
          </w:p>
          <w:p w14:paraId="107108F1" w14:textId="2B07A024" w:rsidR="00CE3350" w:rsidRPr="00DA2EA9" w:rsidRDefault="00CE3350" w:rsidP="00CE3350">
            <w:pPr>
              <w:pStyle w:val="ListParagraph"/>
            </w:pPr>
            <w:r>
              <w:br/>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lastRenderedPageBreak/>
        <w:drawing>
          <wp:inline distT="0" distB="0" distL="0" distR="0" wp14:anchorId="53B49F71" wp14:editId="4FEE813D">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CE64" w14:textId="77777777" w:rsidR="00C15399" w:rsidRDefault="00C15399">
      <w:r>
        <w:separator/>
      </w:r>
    </w:p>
  </w:endnote>
  <w:endnote w:type="continuationSeparator" w:id="0">
    <w:p w14:paraId="52F08349" w14:textId="77777777" w:rsidR="00C15399" w:rsidRDefault="00C1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457D38F9"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6B4C05">
          <w:rPr>
            <w:rFonts w:ascii="Arial" w:hAnsi="Arial" w:cs="Arial"/>
            <w:noProof/>
            <w:sz w:val="22"/>
            <w:szCs w:val="22"/>
          </w:rPr>
          <w:t>1</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264B" w14:textId="77777777" w:rsidR="00C15399" w:rsidRDefault="00C15399">
      <w:r>
        <w:separator/>
      </w:r>
    </w:p>
  </w:footnote>
  <w:footnote w:type="continuationSeparator" w:id="0">
    <w:p w14:paraId="164EB449" w14:textId="77777777" w:rsidR="00C15399" w:rsidRDefault="00C1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8F5"/>
    <w:multiLevelType w:val="hybridMultilevel"/>
    <w:tmpl w:val="EFA8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032EC"/>
    <w:multiLevelType w:val="hybridMultilevel"/>
    <w:tmpl w:val="928CA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217C5"/>
    <w:multiLevelType w:val="hybridMultilevel"/>
    <w:tmpl w:val="09D4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C5D11"/>
    <w:multiLevelType w:val="hybridMultilevel"/>
    <w:tmpl w:val="CA46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4000E"/>
    <w:multiLevelType w:val="hybridMultilevel"/>
    <w:tmpl w:val="4B54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81487"/>
    <w:multiLevelType w:val="hybridMultilevel"/>
    <w:tmpl w:val="A684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B24AF"/>
    <w:multiLevelType w:val="hybridMultilevel"/>
    <w:tmpl w:val="C666B9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D46EFE"/>
    <w:multiLevelType w:val="hybridMultilevel"/>
    <w:tmpl w:val="1418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4B4408"/>
    <w:multiLevelType w:val="hybridMultilevel"/>
    <w:tmpl w:val="501A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C4F29"/>
    <w:multiLevelType w:val="hybridMultilevel"/>
    <w:tmpl w:val="36E0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436078">
    <w:abstractNumId w:val="12"/>
  </w:num>
  <w:num w:numId="2" w16cid:durableId="912160179">
    <w:abstractNumId w:val="20"/>
  </w:num>
  <w:num w:numId="3" w16cid:durableId="2107650516">
    <w:abstractNumId w:val="26"/>
  </w:num>
  <w:num w:numId="4" w16cid:durableId="440611671">
    <w:abstractNumId w:val="9"/>
  </w:num>
  <w:num w:numId="5" w16cid:durableId="64305653">
    <w:abstractNumId w:val="34"/>
  </w:num>
  <w:num w:numId="6" w16cid:durableId="794561675">
    <w:abstractNumId w:val="17"/>
  </w:num>
  <w:num w:numId="7" w16cid:durableId="911934408">
    <w:abstractNumId w:val="16"/>
  </w:num>
  <w:num w:numId="8" w16cid:durableId="609045419">
    <w:abstractNumId w:val="13"/>
  </w:num>
  <w:num w:numId="9" w16cid:durableId="504975651">
    <w:abstractNumId w:val="36"/>
  </w:num>
  <w:num w:numId="10" w16cid:durableId="1721007251">
    <w:abstractNumId w:val="28"/>
  </w:num>
  <w:num w:numId="11" w16cid:durableId="111870866">
    <w:abstractNumId w:val="27"/>
  </w:num>
  <w:num w:numId="12" w16cid:durableId="1744185473">
    <w:abstractNumId w:val="5"/>
  </w:num>
  <w:num w:numId="13" w16cid:durableId="1325627901">
    <w:abstractNumId w:val="15"/>
  </w:num>
  <w:num w:numId="14" w16cid:durableId="1806658789">
    <w:abstractNumId w:val="3"/>
  </w:num>
  <w:num w:numId="15" w16cid:durableId="2141343397">
    <w:abstractNumId w:val="31"/>
  </w:num>
  <w:num w:numId="16" w16cid:durableId="1631521411">
    <w:abstractNumId w:val="1"/>
  </w:num>
  <w:num w:numId="17" w16cid:durableId="1393429215">
    <w:abstractNumId w:val="2"/>
  </w:num>
  <w:num w:numId="18" w16cid:durableId="621422203">
    <w:abstractNumId w:val="22"/>
  </w:num>
  <w:num w:numId="19" w16cid:durableId="1801415006">
    <w:abstractNumId w:val="29"/>
  </w:num>
  <w:num w:numId="20" w16cid:durableId="561991558">
    <w:abstractNumId w:val="25"/>
  </w:num>
  <w:num w:numId="21" w16cid:durableId="1410422345">
    <w:abstractNumId w:val="24"/>
  </w:num>
  <w:num w:numId="22" w16cid:durableId="1774322502">
    <w:abstractNumId w:val="33"/>
  </w:num>
  <w:num w:numId="23" w16cid:durableId="705373764">
    <w:abstractNumId w:val="14"/>
  </w:num>
  <w:num w:numId="24" w16cid:durableId="1964266981">
    <w:abstractNumId w:val="21"/>
  </w:num>
  <w:num w:numId="25" w16cid:durableId="25838544">
    <w:abstractNumId w:val="8"/>
  </w:num>
  <w:num w:numId="26" w16cid:durableId="1966544594">
    <w:abstractNumId w:val="19"/>
  </w:num>
  <w:num w:numId="27" w16cid:durableId="1046100192">
    <w:abstractNumId w:val="18"/>
  </w:num>
  <w:num w:numId="28" w16cid:durableId="759326232">
    <w:abstractNumId w:val="35"/>
  </w:num>
  <w:num w:numId="29" w16cid:durableId="1289773272">
    <w:abstractNumId w:val="11"/>
  </w:num>
  <w:num w:numId="30" w16cid:durableId="2016110739">
    <w:abstractNumId w:val="10"/>
  </w:num>
  <w:num w:numId="31" w16cid:durableId="2022079515">
    <w:abstractNumId w:val="23"/>
  </w:num>
  <w:num w:numId="32" w16cid:durableId="1331103092">
    <w:abstractNumId w:val="4"/>
  </w:num>
  <w:num w:numId="33" w16cid:durableId="1294795310">
    <w:abstractNumId w:val="7"/>
  </w:num>
  <w:num w:numId="34" w16cid:durableId="919825962">
    <w:abstractNumId w:val="30"/>
  </w:num>
  <w:num w:numId="35" w16cid:durableId="1407804586">
    <w:abstractNumId w:val="6"/>
  </w:num>
  <w:num w:numId="36" w16cid:durableId="1595556817">
    <w:abstractNumId w:val="0"/>
  </w:num>
  <w:num w:numId="37" w16cid:durableId="18262403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65FF7"/>
    <w:rsid w:val="0007319B"/>
    <w:rsid w:val="00084507"/>
    <w:rsid w:val="000A1743"/>
    <w:rsid w:val="000C26B4"/>
    <w:rsid w:val="000D165F"/>
    <w:rsid w:val="000D6C68"/>
    <w:rsid w:val="000E488E"/>
    <w:rsid w:val="0010772C"/>
    <w:rsid w:val="001429BC"/>
    <w:rsid w:val="00145D05"/>
    <w:rsid w:val="00161626"/>
    <w:rsid w:val="00171182"/>
    <w:rsid w:val="00194758"/>
    <w:rsid w:val="00196C6D"/>
    <w:rsid w:val="001D6E36"/>
    <w:rsid w:val="001E1077"/>
    <w:rsid w:val="001E283C"/>
    <w:rsid w:val="001F6BB6"/>
    <w:rsid w:val="00217B4A"/>
    <w:rsid w:val="00256034"/>
    <w:rsid w:val="002677CF"/>
    <w:rsid w:val="002A649D"/>
    <w:rsid w:val="002B0A6B"/>
    <w:rsid w:val="002B39DB"/>
    <w:rsid w:val="003302E6"/>
    <w:rsid w:val="00346FA9"/>
    <w:rsid w:val="00380BF9"/>
    <w:rsid w:val="003960BA"/>
    <w:rsid w:val="003A5FC8"/>
    <w:rsid w:val="003C19E5"/>
    <w:rsid w:val="003C2C86"/>
    <w:rsid w:val="003D5A22"/>
    <w:rsid w:val="003E2B1A"/>
    <w:rsid w:val="003F2166"/>
    <w:rsid w:val="003F43E2"/>
    <w:rsid w:val="00423B17"/>
    <w:rsid w:val="00426055"/>
    <w:rsid w:val="004319B9"/>
    <w:rsid w:val="004720FC"/>
    <w:rsid w:val="004A55FD"/>
    <w:rsid w:val="004B4859"/>
    <w:rsid w:val="004F645D"/>
    <w:rsid w:val="005121DC"/>
    <w:rsid w:val="005511B6"/>
    <w:rsid w:val="00572999"/>
    <w:rsid w:val="00575844"/>
    <w:rsid w:val="00590885"/>
    <w:rsid w:val="005A7602"/>
    <w:rsid w:val="005E4EC9"/>
    <w:rsid w:val="005F53DC"/>
    <w:rsid w:val="005F6CA5"/>
    <w:rsid w:val="00613897"/>
    <w:rsid w:val="00624C73"/>
    <w:rsid w:val="006703C1"/>
    <w:rsid w:val="00677B71"/>
    <w:rsid w:val="00681067"/>
    <w:rsid w:val="00687CBC"/>
    <w:rsid w:val="006A46B2"/>
    <w:rsid w:val="006A6825"/>
    <w:rsid w:val="006B0ACB"/>
    <w:rsid w:val="006B4056"/>
    <w:rsid w:val="006B4C05"/>
    <w:rsid w:val="006C4666"/>
    <w:rsid w:val="006F0380"/>
    <w:rsid w:val="0070520E"/>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C6341"/>
    <w:rsid w:val="008D3E54"/>
    <w:rsid w:val="008E4247"/>
    <w:rsid w:val="009B34CB"/>
    <w:rsid w:val="009D5F30"/>
    <w:rsid w:val="009E3071"/>
    <w:rsid w:val="009E58A8"/>
    <w:rsid w:val="009F4823"/>
    <w:rsid w:val="00A00D3B"/>
    <w:rsid w:val="00A206E5"/>
    <w:rsid w:val="00A2179A"/>
    <w:rsid w:val="00A25F3B"/>
    <w:rsid w:val="00A3440B"/>
    <w:rsid w:val="00A749ED"/>
    <w:rsid w:val="00AA3FBD"/>
    <w:rsid w:val="00AB5EF8"/>
    <w:rsid w:val="00AD5587"/>
    <w:rsid w:val="00B13534"/>
    <w:rsid w:val="00B310FD"/>
    <w:rsid w:val="00B54B36"/>
    <w:rsid w:val="00B65FFA"/>
    <w:rsid w:val="00B77355"/>
    <w:rsid w:val="00BB537B"/>
    <w:rsid w:val="00BB78C2"/>
    <w:rsid w:val="00BD239E"/>
    <w:rsid w:val="00BD2D35"/>
    <w:rsid w:val="00BF087C"/>
    <w:rsid w:val="00C11CA2"/>
    <w:rsid w:val="00C15399"/>
    <w:rsid w:val="00C47B59"/>
    <w:rsid w:val="00C53096"/>
    <w:rsid w:val="00C531C3"/>
    <w:rsid w:val="00C72E39"/>
    <w:rsid w:val="00C77AE9"/>
    <w:rsid w:val="00CC00CF"/>
    <w:rsid w:val="00CE1C5F"/>
    <w:rsid w:val="00CE3350"/>
    <w:rsid w:val="00CF0C6F"/>
    <w:rsid w:val="00D00EA3"/>
    <w:rsid w:val="00D05B58"/>
    <w:rsid w:val="00D173AD"/>
    <w:rsid w:val="00D2555C"/>
    <w:rsid w:val="00D365E0"/>
    <w:rsid w:val="00D50FB9"/>
    <w:rsid w:val="00D56541"/>
    <w:rsid w:val="00D75C63"/>
    <w:rsid w:val="00DA2EA9"/>
    <w:rsid w:val="00DA73BE"/>
    <w:rsid w:val="00DD5E16"/>
    <w:rsid w:val="00E076AB"/>
    <w:rsid w:val="00E07A4C"/>
    <w:rsid w:val="00E23922"/>
    <w:rsid w:val="00E437AF"/>
    <w:rsid w:val="00E52C4E"/>
    <w:rsid w:val="00E67C70"/>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1052</Words>
  <Characters>6219</Characters>
  <Application>Microsoft Office Word</Application>
  <DocSecurity>0</DocSecurity>
  <Lines>172</Lines>
  <Paragraphs>76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Daniel Wheelwright</cp:lastModifiedBy>
  <cp:revision>8</cp:revision>
  <dcterms:created xsi:type="dcterms:W3CDTF">2025-06-16T06:26:00Z</dcterms:created>
  <dcterms:modified xsi:type="dcterms:W3CDTF">2026-02-10T15:47:00Z</dcterms:modified>
</cp:coreProperties>
</file>