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Assessor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JO3</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Adults Services- Early Support and Advice Hub</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Team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rPr>
                <w:rFonts w:ascii="Arial" w:hAnsi="Arial" w:eastAsia="Calibri" w:cs="Arial"/>
              </w:rPr>
            </w:pPr>
            <w:r>
              <w:rPr>
                <w:rFonts w:eastAsia="Calibri" w:cs="Arial" w:ascii="Arial" w:hAnsi="Arial"/>
              </w:rPr>
              <w:t xml:space="preserve">The Assessor role will be part of Adult Services, supporting adults and their Carers in Tameside to live well at home.  </w:t>
            </w:r>
          </w:p>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0" w:after="0"/>
              <w:rPr>
                <w:rFonts w:ascii="Arial" w:hAnsi="Arial" w:eastAsia="Calibri" w:cs="Arial"/>
              </w:rPr>
            </w:pPr>
            <w:r>
              <w:rPr>
                <w:rFonts w:eastAsia="Calibri" w:cs="Arial" w:ascii="Arial" w:hAnsi="Arial"/>
              </w:rPr>
              <w:t>The post will lead on carrying out our statutory duties under the Care Act 2014 in relation to assessing the needs of adults and their carers, and developing and monitoring support plans.</w:t>
            </w:r>
          </w:p>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0" w:after="0"/>
              <w:rPr>
                <w:rFonts w:ascii="Arial" w:hAnsi="Arial" w:eastAsia="Calibri" w:cs="Arial"/>
              </w:rPr>
            </w:pPr>
            <w:r>
              <w:rPr>
                <w:rFonts w:eastAsia="Calibri" w:cs="Arial" w:ascii="Arial" w:hAnsi="Arial"/>
              </w:rPr>
              <w:t xml:space="preserve">The Assessor role is integral to embedding person centred, right based practice, making links with the community and individual’s network to ensure an asset based approach.   </w:t>
            </w:r>
          </w:p>
          <w:p>
            <w:pPr>
              <w:pStyle w:val="NoSpacing"/>
              <w:spacing w:lineRule="auto" w:line="240" w:before="0" w:after="0"/>
              <w:rPr/>
            </w:pPr>
            <w:r>
              <w:rPr/>
            </w:r>
          </w:p>
          <w:p>
            <w:pPr>
              <w:pStyle w:val="Normal"/>
              <w:spacing w:lineRule="auto" w:line="240" w:before="120" w:after="0"/>
              <w:jc w:val="both"/>
              <w:rPr>
                <w:rFonts w:ascii="Arial" w:hAnsi="Arial" w:cs="Arial"/>
                <w:b/>
                <w:b/>
              </w:rPr>
            </w:pPr>
            <w:r>
              <w:rPr>
                <w:rFonts w:cs="Arial" w:ascii="Arial" w:hAnsi="Arial"/>
                <w:b/>
              </w:rPr>
              <w:t>Main Duties and Responsibilities include:</w:t>
            </w:r>
          </w:p>
          <w:p>
            <w:pPr>
              <w:pStyle w:val="Normal"/>
              <w:spacing w:lineRule="auto" w:line="240" w:before="120" w:after="0"/>
              <w:jc w:val="both"/>
              <w:rPr>
                <w:rFonts w:ascii="Arial" w:hAnsi="Arial" w:cs="Arial"/>
              </w:rPr>
            </w:pPr>
            <w:r>
              <w:rPr>
                <w:rFonts w:cs="Arial" w:ascii="Arial" w:hAnsi="Arial"/>
              </w:rPr>
            </w:r>
          </w:p>
          <w:p>
            <w:pPr>
              <w:pStyle w:val="NoSpacing"/>
              <w:spacing w:lineRule="auto" w:line="240" w:before="0" w:after="0"/>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Normal"/>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720" w:right="0" w:hanging="720"/>
              <w:rPr>
                <w:rFonts w:ascii="Arial" w:hAnsi="Arial" w:cs="Arial"/>
                <w:b/>
                <w:b/>
                <w:sz w:val="22"/>
                <w:u w:val="single"/>
              </w:rPr>
            </w:pPr>
            <w:r>
              <w:rPr>
                <w:rFonts w:cs="Arial" w:ascii="Arial" w:hAnsi="Arial"/>
                <w:b/>
                <w:sz w:val="22"/>
                <w:u w:val="single"/>
              </w:rPr>
            </w:r>
          </w:p>
          <w:p>
            <w:pPr>
              <w:pStyle w:val="Normal"/>
              <w:spacing w:lineRule="auto" w:line="240" w:before="120" w:after="0"/>
              <w:jc w:val="both"/>
              <w:rPr>
                <w:rFonts w:ascii="Arial" w:hAnsi="Arial" w:eastAsia="Calibri" w:cs="Arial"/>
                <w:b/>
                <w:b/>
                <w:u w:val="single"/>
              </w:rPr>
            </w:pPr>
            <w:r>
              <w:rPr>
                <w:rFonts w:eastAsia="Calibri" w:cs="Arial" w:ascii="Arial" w:hAnsi="Arial"/>
                <w:b/>
                <w:u w:val="single"/>
              </w:rPr>
              <w:t>Main Duties and Responsibilities include:</w:t>
            </w:r>
          </w:p>
          <w:p>
            <w:pPr>
              <w:pStyle w:val="NoSpacing"/>
              <w:spacing w:lineRule="auto" w:line="240" w:before="0" w:after="0"/>
              <w:rPr>
                <w:rFonts w:ascii="Arial" w:hAnsi="Arial" w:eastAsia="Calibri" w:cs="Arial"/>
                <w:b/>
                <w:b/>
                <w:sz w:val="20"/>
                <w:szCs w:val="20"/>
                <w:u w:val="single"/>
              </w:rPr>
            </w:pPr>
            <w:r>
              <w:rPr>
                <w:rFonts w:eastAsia="Calibri" w:cs="Arial" w:ascii="Arial" w:hAnsi="Arial"/>
                <w:b/>
                <w:sz w:val="20"/>
                <w:szCs w:val="20"/>
                <w:u w:val="single"/>
              </w:rPr>
            </w:r>
          </w:p>
          <w:p>
            <w:pPr>
              <w:pStyle w:val="Normal"/>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eastAsia="Calibri" w:cs="Arial"/>
                <w:b/>
                <w:b/>
                <w:sz w:val="20"/>
                <w:szCs w:val="20"/>
                <w:u w:val="single"/>
              </w:rPr>
            </w:pPr>
            <w:r>
              <w:rPr>
                <w:rFonts w:eastAsia="Calibri" w:cs="Arial" w:ascii="Arial" w:hAnsi="Arial"/>
                <w:b/>
                <w:sz w:val="20"/>
                <w:szCs w:val="20"/>
                <w:u w:val="single"/>
              </w:rPr>
            </w:r>
          </w:p>
          <w:p>
            <w:pPr>
              <w:pStyle w:val="ListParagraph"/>
              <w:numPr>
                <w:ilvl w:val="0"/>
                <w:numId w:val="4"/>
              </w:numPr>
              <w:spacing w:lineRule="auto" w:line="240" w:before="0" w:after="0"/>
              <w:ind w:left="360" w:right="0" w:hanging="360"/>
              <w:contextualSpacing/>
              <w:jc w:val="both"/>
              <w:rPr>
                <w:rFonts w:eastAsia="Calibri"/>
                <w:sz w:val="20"/>
                <w:szCs w:val="20"/>
              </w:rPr>
            </w:pPr>
            <w:r>
              <w:rPr>
                <w:rFonts w:eastAsia="Calibri"/>
                <w:sz w:val="20"/>
                <w:szCs w:val="20"/>
              </w:rPr>
              <w:t>To assess wellbeing and needs with an emphasis on early intervention and prevention with adults and their carers. To engage the adult and carer in understanding their needs and the strengths and assets they have to meet them.</w:t>
            </w:r>
          </w:p>
          <w:p>
            <w:pPr>
              <w:pStyle w:val="ListParagraph"/>
              <w:numPr>
                <w:ilvl w:val="0"/>
                <w:numId w:val="4"/>
              </w:numPr>
              <w:spacing w:lineRule="auto" w:line="240" w:before="0" w:after="0"/>
              <w:ind w:left="360" w:right="0" w:hanging="360"/>
              <w:contextualSpacing/>
              <w:jc w:val="both"/>
              <w:rPr/>
            </w:pPr>
            <w:r>
              <w:rPr/>
              <w:t>To undertake duties in ensuring Safeguarding is everyone’s business in relation to an adult with care and support needs who may be at risk of abuse or neglect and any action required.</w:t>
            </w:r>
          </w:p>
          <w:p>
            <w:pPr>
              <w:pStyle w:val="ListParagraph"/>
              <w:spacing w:lineRule="auto" w:line="240" w:before="0" w:after="0"/>
              <w:ind w:left="360" w:right="0" w:hanging="0"/>
              <w:contextualSpacing/>
              <w:jc w:val="both"/>
              <w:rPr>
                <w:sz w:val="20"/>
                <w:szCs w:val="20"/>
              </w:rPr>
            </w:pPr>
            <w:r>
              <w:rPr>
                <w:sz w:val="20"/>
                <w:szCs w:val="20"/>
              </w:rPr>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rPr>
                <w:sz w:val="20"/>
                <w:szCs w:val="20"/>
              </w:rPr>
            </w:pPr>
            <w:r>
              <w:rPr>
                <w:sz w:val="20"/>
                <w:szCs w:val="20"/>
              </w:rPr>
              <w:t xml:space="preserve">To work in partnership with multiple professionals to support adults with complex needs coordinating MDT’s where appropriate.  </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To hold a manageable caseload for triaging and contribute to the rota within the team and work weekends when required as per rota pattern.</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0" w:right="0" w:hanging="0"/>
              <w:contextualSpacing/>
              <w:jc w:val="both"/>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 xml:space="preserve">Contribute to a team culture which places the voice of lived experience, internal and external, at the heart of the service. </w:t>
            </w:r>
          </w:p>
          <w:p>
            <w:pPr>
              <w:pStyle w:val="ListParagraph"/>
              <w:spacing w:lineRule="auto" w:line="240" w:before="0" w:after="0"/>
              <w:ind w:left="360" w:right="0" w:hanging="0"/>
              <w:contextualSpacing/>
              <w:rPr>
                <w:sz w:val="20"/>
                <w:szCs w:val="20"/>
              </w:rPr>
            </w:pPr>
            <w:r>
              <w:rPr>
                <w:sz w:val="20"/>
                <w:szCs w:val="20"/>
              </w:rPr>
            </w:r>
          </w:p>
          <w:p>
            <w:pPr>
              <w:pStyle w:val="ListParagraph"/>
              <w:numPr>
                <w:ilvl w:val="0"/>
                <w:numId w:val="4"/>
              </w:numPr>
              <w:spacing w:lineRule="auto" w:line="240" w:before="0" w:after="0"/>
              <w:ind w:left="360" w:right="0" w:hanging="360"/>
              <w:contextualSpacing/>
              <w:jc w:val="both"/>
              <w:rPr>
                <w:sz w:val="20"/>
                <w:szCs w:val="20"/>
              </w:rPr>
            </w:pPr>
            <w:r>
              <w:rPr>
                <w:sz w:val="20"/>
                <w:szCs w:val="20"/>
              </w:rPr>
              <w:t xml:space="preserve">Be accountable for your own practice and ongoing learning, contribute to the learning of the team through supporting colleagues and student’s placements.  </w:t>
            </w:r>
          </w:p>
          <w:p>
            <w:pPr>
              <w:pStyle w:val="ListParagraph"/>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Complying with departmental policies and procedures and quality standards.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Exercising decision making with reference to legal and ethical literacy.</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engage in regular supervision and Annual Development Reviews.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develop the service and assist in continuous improvement programmes.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maintain accurate and person centred records using the case management system.</w:t>
            </w:r>
          </w:p>
          <w:p>
            <w:pPr>
              <w:pStyle w:val="ListParagraph"/>
              <w:spacing w:lineRule="auto" w:line="240" w:before="0" w:after="0"/>
              <w:ind w:left="360" w:right="0" w:hanging="0"/>
              <w:contextualSpacing/>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collaborate with colleagues to ensure the most efficient delivery of services across all teams and areas.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Any other duties as the department or the service develops.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 xml:space="preserve">To fulfil personal requirements, where appropriate, with regard to council policies and procedures, health, safety and welfare, customer care, emergency, evacuation, security.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sz w:val="20"/>
                <w:szCs w:val="20"/>
              </w:rPr>
            </w:pPr>
            <w:r>
              <w:rPr>
                <w:sz w:val="20"/>
                <w:szCs w:val="20"/>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contextualSpacing/>
              <w:jc w:val="both"/>
              <w:rPr>
                <w:sz w:val="20"/>
                <w:szCs w:val="20"/>
              </w:rPr>
            </w:pPr>
            <w:r>
              <w:rPr>
                <w:sz w:val="20"/>
                <w:szCs w:val="20"/>
              </w:rPr>
              <w:t>To undertake the duties in accordance with the hours as may be required by the service.</w:t>
            </w:r>
          </w:p>
          <w:p>
            <w:pPr>
              <w:pStyle w:val="NoSpacing"/>
              <w:spacing w:lineRule="auto" w:line="240" w:before="0" w:after="0"/>
              <w:jc w:val="both"/>
              <w:rPr>
                <w:rFonts w:ascii="Arial" w:hAnsi="Arial" w:cs="Arial"/>
                <w:sz w:val="20"/>
                <w:szCs w:val="20"/>
              </w:rPr>
            </w:pPr>
            <w:r>
              <w:rPr>
                <w:rFonts w:cs="Arial" w:ascii="Arial" w:hAnsi="Arial"/>
                <w:sz w:val="20"/>
                <w:szCs w:val="20"/>
              </w:rPr>
              <w:t>The duties may vary from time to time without changing the nature of the post or the level of responsibility, and the post holder may also be required to carry out any other duties appropriate to the grading of the post.</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sz w:val="20"/>
                <w:szCs w:val="20"/>
                <w:lang w:eastAsia="en-GB"/>
              </w:rPr>
            </w:pPr>
            <w:r>
              <w:rPr>
                <w:sz w:val="20"/>
                <w:szCs w:val="20"/>
                <w:lang w:eastAsia="en-GB"/>
              </w:rPr>
              <w:t>Full Driving Licence</w:t>
            </w:r>
          </w:p>
          <w:p>
            <w:pPr>
              <w:pStyle w:val="NoSpacing"/>
              <w:spacing w:lineRule="auto" w:line="240" w:before="0" w:after="0"/>
              <w:rPr>
                <w:rFonts w:ascii="Arial" w:hAnsi="Arial" w:cs="Arial"/>
                <w:b/>
                <w:b/>
                <w:sz w:val="20"/>
                <w:szCs w:val="18"/>
              </w:rPr>
            </w:pPr>
            <w:r>
              <w:rPr>
                <w:rFonts w:cs="Arial" w:ascii="Arial" w:hAnsi="Arial"/>
                <w:b/>
                <w:sz w:val="20"/>
                <w:szCs w:val="18"/>
              </w:rPr>
              <w:t>Your essential experience</w:t>
            </w:r>
          </w:p>
          <w:p>
            <w:pPr>
              <w:pStyle w:val="Normal"/>
              <w:spacing w:lineRule="auto" w:line="240" w:before="0" w:after="0"/>
              <w:rPr>
                <w:rFonts w:ascii="Arial" w:hAnsi="Arial" w:cs="Arial"/>
                <w:szCs w:val="18"/>
              </w:rPr>
            </w:pPr>
            <w:r>
              <w:rPr>
                <w:rFonts w:cs="Arial" w:ascii="Arial" w:hAnsi="Arial"/>
                <w:szCs w:val="18"/>
              </w:rPr>
            </w:r>
          </w:p>
          <w:p>
            <w:pPr>
              <w:pStyle w:val="ListParagraph"/>
              <w:numPr>
                <w:ilvl w:val="0"/>
                <w:numId w:val="3"/>
              </w:numPr>
              <w:spacing w:lineRule="auto" w:line="240" w:before="0" w:after="0"/>
              <w:contextualSpacing/>
              <w:rPr>
                <w:sz w:val="20"/>
                <w:szCs w:val="18"/>
              </w:rPr>
            </w:pPr>
            <w:r>
              <w:rPr>
                <w:sz w:val="20"/>
                <w:szCs w:val="18"/>
              </w:rPr>
              <w:t>Experience of working in social or health care setting</w:t>
            </w:r>
          </w:p>
          <w:p>
            <w:pPr>
              <w:pStyle w:val="ListParagraph"/>
              <w:numPr>
                <w:ilvl w:val="0"/>
                <w:numId w:val="3"/>
              </w:numPr>
              <w:spacing w:lineRule="auto" w:line="240" w:before="0" w:after="0"/>
              <w:contextualSpacing/>
              <w:rPr>
                <w:sz w:val="20"/>
                <w:szCs w:val="20"/>
                <w:lang w:eastAsia="en-GB"/>
              </w:rPr>
            </w:pPr>
            <w:r>
              <w:rPr>
                <w:sz w:val="20"/>
                <w:szCs w:val="20"/>
                <w:lang w:eastAsia="en-GB"/>
              </w:rPr>
              <w:t>Experience of communicating with the public, service providers and other stakeholders</w:t>
            </w:r>
          </w:p>
          <w:p>
            <w:pPr>
              <w:pStyle w:val="ListParagraph"/>
              <w:numPr>
                <w:ilvl w:val="0"/>
                <w:numId w:val="3"/>
              </w:numPr>
              <w:spacing w:lineRule="auto" w:line="240" w:before="0" w:after="0"/>
              <w:contextualSpacing/>
              <w:rPr>
                <w:sz w:val="20"/>
                <w:szCs w:val="20"/>
                <w:lang w:eastAsia="en-GB"/>
              </w:rPr>
            </w:pPr>
            <w:r>
              <w:rPr>
                <w:sz w:val="20"/>
                <w:szCs w:val="20"/>
                <w:lang w:eastAsia="en-GB"/>
              </w:rPr>
              <w:t>Experience in joint working arrangements with other agencies</w:t>
            </w:r>
          </w:p>
          <w:p>
            <w:pPr>
              <w:pStyle w:val="Normal"/>
              <w:spacing w:lineRule="auto" w:line="240" w:before="0" w:after="0"/>
              <w:rPr>
                <w:rFonts w:ascii="Arial" w:hAnsi="Arial" w:eastAsia="Calibri" w:cs="Arial"/>
                <w:sz w:val="18"/>
                <w:szCs w:val="18"/>
                <w:lang w:eastAsia="en-GB"/>
              </w:rPr>
            </w:pPr>
            <w:r>
              <w:rPr>
                <w:rFonts w:eastAsia="Calibri" w:cs="Arial" w:ascii="Arial" w:hAnsi="Arial"/>
                <w:sz w:val="18"/>
                <w:szCs w:val="18"/>
                <w:lang w:eastAsia="en-GB"/>
              </w:rPr>
            </w:r>
          </w:p>
          <w:p>
            <w:pPr>
              <w:pStyle w:val="NoSpacing"/>
              <w:spacing w:lineRule="auto" w:line="240" w:before="0" w:after="0"/>
              <w:rPr>
                <w:rFonts w:ascii="Arial" w:hAnsi="Arial" w:eastAsia="Calibri" w:cs="Arial"/>
                <w:b/>
                <w:b/>
                <w:sz w:val="18"/>
                <w:szCs w:val="18"/>
                <w:lang w:eastAsia="en-GB"/>
              </w:rPr>
            </w:pPr>
            <w:r>
              <w:rPr>
                <w:rFonts w:eastAsia="Calibri" w:cs="Arial" w:ascii="Arial" w:hAnsi="Arial"/>
                <w:b/>
                <w:sz w:val="18"/>
                <w:szCs w:val="18"/>
                <w:lang w:eastAsia="en-GB"/>
              </w:rPr>
            </w:r>
          </w:p>
          <w:p>
            <w:pPr>
              <w:pStyle w:val="NoSpacing"/>
              <w:spacing w:lineRule="auto" w:line="240" w:before="0" w:after="0"/>
              <w:rPr>
                <w:rFonts w:ascii="Arial" w:hAnsi="Arial" w:cs="Arial"/>
                <w:b/>
                <w:b/>
                <w:sz w:val="20"/>
                <w:szCs w:val="18"/>
              </w:rPr>
            </w:pPr>
            <w:r>
              <w:rPr>
                <w:rFonts w:cs="Arial" w:ascii="Arial" w:hAnsi="Arial"/>
                <w:b/>
                <w:sz w:val="20"/>
                <w:szCs w:val="18"/>
              </w:rPr>
              <w:t>Your essential skills</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ListParagraph"/>
              <w:numPr>
                <w:ilvl w:val="0"/>
                <w:numId w:val="3"/>
              </w:numPr>
              <w:spacing w:lineRule="auto" w:line="240" w:before="0" w:after="0"/>
              <w:contextualSpacing/>
              <w:rPr>
                <w:sz w:val="20"/>
                <w:szCs w:val="18"/>
              </w:rPr>
            </w:pPr>
            <w:r>
              <w:rPr>
                <w:sz w:val="20"/>
                <w:szCs w:val="18"/>
              </w:rPr>
              <w:t xml:space="preserve">Good written and analytical skills </w:t>
            </w:r>
          </w:p>
          <w:p>
            <w:pPr>
              <w:pStyle w:val="ListParagraph"/>
              <w:numPr>
                <w:ilvl w:val="0"/>
                <w:numId w:val="3"/>
              </w:numPr>
              <w:spacing w:lineRule="auto" w:line="240" w:before="0" w:after="0"/>
              <w:contextualSpacing/>
              <w:rPr>
                <w:sz w:val="20"/>
                <w:szCs w:val="18"/>
              </w:rPr>
            </w:pPr>
            <w:r>
              <w:rPr>
                <w:sz w:val="20"/>
                <w:szCs w:val="18"/>
              </w:rPr>
              <w:t xml:space="preserve">Ability to communicate with a range of people </w:t>
            </w:r>
          </w:p>
          <w:p>
            <w:pPr>
              <w:pStyle w:val="ListParagraph"/>
              <w:numPr>
                <w:ilvl w:val="0"/>
                <w:numId w:val="3"/>
              </w:numPr>
              <w:spacing w:lineRule="auto" w:line="240" w:before="0" w:after="0"/>
              <w:contextualSpacing/>
              <w:rPr>
                <w:sz w:val="20"/>
                <w:szCs w:val="18"/>
                <w:lang w:eastAsia="en-GB"/>
              </w:rPr>
            </w:pPr>
            <w:r>
              <w:rPr>
                <w:sz w:val="20"/>
                <w:szCs w:val="18"/>
                <w:lang w:eastAsia="en-GB"/>
              </w:rPr>
              <w:t>Skills in needs assessment and risk assessment</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effectively in a multi-disciplinary system</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jointly across the service and with other agencies</w:t>
            </w:r>
          </w:p>
          <w:p>
            <w:pPr>
              <w:pStyle w:val="ListParagraph"/>
              <w:numPr>
                <w:ilvl w:val="0"/>
                <w:numId w:val="3"/>
              </w:numPr>
              <w:spacing w:lineRule="auto" w:line="240" w:before="0" w:after="0"/>
              <w:contextualSpacing/>
              <w:rPr>
                <w:sz w:val="20"/>
                <w:szCs w:val="18"/>
                <w:lang w:eastAsia="en-GB"/>
              </w:rPr>
            </w:pPr>
            <w:r>
              <w:rPr>
                <w:sz w:val="20"/>
                <w:szCs w:val="18"/>
                <w:lang w:eastAsia="en-GB"/>
              </w:rPr>
              <w:t>Ability to communicate openly and honestly with people we support and their families</w:t>
            </w:r>
          </w:p>
          <w:p>
            <w:pPr>
              <w:pStyle w:val="ListParagraph"/>
              <w:numPr>
                <w:ilvl w:val="0"/>
                <w:numId w:val="3"/>
              </w:numPr>
              <w:spacing w:lineRule="auto" w:line="240" w:before="0" w:after="0"/>
              <w:contextualSpacing/>
              <w:rPr>
                <w:sz w:val="20"/>
                <w:szCs w:val="18"/>
                <w:lang w:eastAsia="en-GB"/>
              </w:rPr>
            </w:pPr>
            <w:r>
              <w:rPr>
                <w:sz w:val="20"/>
                <w:szCs w:val="18"/>
                <w:lang w:eastAsia="en-GB"/>
              </w:rPr>
              <w:t>Ability to maintain up-to-date accurate information using IT database</w:t>
            </w:r>
          </w:p>
          <w:p>
            <w:pPr>
              <w:pStyle w:val="ListParagraph"/>
              <w:numPr>
                <w:ilvl w:val="0"/>
                <w:numId w:val="3"/>
              </w:numPr>
              <w:spacing w:lineRule="auto" w:line="240" w:before="0" w:after="0"/>
              <w:contextualSpacing/>
              <w:rPr>
                <w:sz w:val="20"/>
                <w:szCs w:val="18"/>
                <w:lang w:eastAsia="en-GB"/>
              </w:rPr>
            </w:pPr>
            <w:r>
              <w:rPr>
                <w:sz w:val="20"/>
                <w:szCs w:val="18"/>
                <w:lang w:eastAsia="en-GB"/>
              </w:rPr>
              <w:t>Ability to relate with people effectively</w:t>
            </w:r>
          </w:p>
          <w:p>
            <w:pPr>
              <w:pStyle w:val="ListParagraph"/>
              <w:numPr>
                <w:ilvl w:val="0"/>
                <w:numId w:val="3"/>
              </w:numPr>
              <w:spacing w:lineRule="auto" w:line="240" w:before="0" w:after="0"/>
              <w:contextualSpacing/>
              <w:rPr>
                <w:sz w:val="20"/>
                <w:szCs w:val="18"/>
                <w:lang w:eastAsia="en-GB"/>
              </w:rPr>
            </w:pPr>
            <w:r>
              <w:rPr>
                <w:sz w:val="20"/>
                <w:szCs w:val="18"/>
                <w:lang w:eastAsia="en-GB"/>
              </w:rPr>
              <w:t xml:space="preserve">Ability to make effective use of supervision </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as a member of a team</w:t>
            </w:r>
          </w:p>
          <w:p>
            <w:pPr>
              <w:pStyle w:val="ListParagraph"/>
              <w:numPr>
                <w:ilvl w:val="0"/>
                <w:numId w:val="3"/>
              </w:numPr>
              <w:spacing w:lineRule="auto" w:line="240" w:before="0" w:after="0"/>
              <w:contextualSpacing/>
              <w:rPr>
                <w:sz w:val="20"/>
                <w:szCs w:val="18"/>
                <w:lang w:eastAsia="en-GB"/>
              </w:rPr>
            </w:pPr>
            <w:r>
              <w:rPr>
                <w:sz w:val="20"/>
                <w:szCs w:val="18"/>
                <w:lang w:eastAsia="en-GB"/>
              </w:rPr>
              <w:t>Ability to communicate effectively in writing and produce good quality reports</w:t>
            </w:r>
          </w:p>
          <w:p>
            <w:pPr>
              <w:pStyle w:val="ListParagraph"/>
              <w:numPr>
                <w:ilvl w:val="0"/>
                <w:numId w:val="3"/>
              </w:numPr>
              <w:spacing w:lineRule="auto" w:line="240" w:before="0" w:after="0"/>
              <w:contextualSpacing/>
              <w:rPr>
                <w:sz w:val="20"/>
                <w:szCs w:val="18"/>
                <w:lang w:eastAsia="en-GB"/>
              </w:rPr>
            </w:pPr>
            <w:r>
              <w:rPr>
                <w:sz w:val="20"/>
                <w:szCs w:val="18"/>
                <w:lang w:eastAsia="en-GB"/>
              </w:rPr>
              <w:t>Able to present information to public and groups</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NoSpacing"/>
              <w:spacing w:lineRule="auto" w:line="240" w:before="0" w:after="0"/>
              <w:rPr>
                <w:rFonts w:ascii="Arial" w:hAnsi="Arial" w:cs="Arial"/>
                <w:b/>
                <w:b/>
                <w:sz w:val="20"/>
                <w:szCs w:val="18"/>
              </w:rPr>
            </w:pPr>
            <w:r>
              <w:rPr>
                <w:rFonts w:cs="Arial" w:ascii="Arial" w:hAnsi="Arial"/>
                <w:b/>
                <w:sz w:val="20"/>
                <w:szCs w:val="18"/>
              </w:rPr>
              <w:t>Your essential knowledge</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ListParagraph"/>
              <w:numPr>
                <w:ilvl w:val="0"/>
                <w:numId w:val="3"/>
              </w:numPr>
              <w:spacing w:lineRule="auto" w:line="240" w:before="0" w:after="0"/>
              <w:contextualSpacing/>
              <w:rPr>
                <w:sz w:val="20"/>
                <w:szCs w:val="18"/>
              </w:rPr>
            </w:pPr>
            <w:r>
              <w:rPr>
                <w:sz w:val="20"/>
                <w:szCs w:val="18"/>
              </w:rPr>
              <w:t>Knowledge and understanding of the legislative, political and social policy context of Adult Services</w:t>
            </w:r>
          </w:p>
          <w:p>
            <w:pPr>
              <w:pStyle w:val="ListParagraph"/>
              <w:numPr>
                <w:ilvl w:val="0"/>
                <w:numId w:val="3"/>
              </w:numPr>
              <w:spacing w:lineRule="auto" w:line="240" w:before="0" w:after="0"/>
              <w:contextualSpacing/>
              <w:rPr>
                <w:sz w:val="20"/>
                <w:szCs w:val="18"/>
              </w:rPr>
            </w:pPr>
            <w:r>
              <w:rPr>
                <w:sz w:val="20"/>
                <w:szCs w:val="18"/>
              </w:rPr>
              <w:t>Knowledge of the Care Act 2014</w:t>
            </w:r>
          </w:p>
          <w:p>
            <w:pPr>
              <w:pStyle w:val="ListParagraph"/>
              <w:numPr>
                <w:ilvl w:val="0"/>
                <w:numId w:val="3"/>
              </w:numPr>
              <w:spacing w:lineRule="auto" w:line="240" w:before="0" w:after="0"/>
              <w:contextualSpacing/>
              <w:rPr>
                <w:sz w:val="20"/>
                <w:szCs w:val="18"/>
              </w:rPr>
            </w:pPr>
            <w:r>
              <w:rPr>
                <w:sz w:val="20"/>
                <w:szCs w:val="18"/>
              </w:rPr>
              <w:t xml:space="preserve">Knowledge of Adult Safeguarding </w:t>
            </w:r>
          </w:p>
          <w:p>
            <w:pPr>
              <w:pStyle w:val="ListParagraph"/>
              <w:numPr>
                <w:ilvl w:val="0"/>
                <w:numId w:val="3"/>
              </w:numPr>
              <w:spacing w:lineRule="auto" w:line="240" w:before="0" w:after="0"/>
              <w:contextualSpacing/>
              <w:rPr>
                <w:sz w:val="20"/>
                <w:szCs w:val="18"/>
                <w:lang w:val="en-US"/>
              </w:rPr>
            </w:pPr>
            <w:r>
              <w:rPr>
                <w:sz w:val="20"/>
                <w:szCs w:val="18"/>
                <w:lang w:val="en-US"/>
              </w:rPr>
              <w:t>Knowledge of the Mental Capacity Act 2005 and Human Rights Act 1998</w:t>
            </w:r>
          </w:p>
          <w:p>
            <w:pPr>
              <w:pStyle w:val="ListParagraph"/>
              <w:numPr>
                <w:ilvl w:val="0"/>
                <w:numId w:val="3"/>
              </w:numPr>
              <w:spacing w:lineRule="auto" w:line="240" w:before="0" w:after="0"/>
              <w:contextualSpacing/>
              <w:rPr>
                <w:sz w:val="20"/>
                <w:szCs w:val="18"/>
              </w:rPr>
            </w:pPr>
            <w:r>
              <w:rPr>
                <w:sz w:val="20"/>
                <w:szCs w:val="18"/>
              </w:rPr>
              <w:t>Knowledge and understanding of the theories which underpin social work practice and their impact on and relationship to evidence-based social work practice.</w:t>
            </w:r>
          </w:p>
          <w:p>
            <w:pPr>
              <w:pStyle w:val="ListParagraph"/>
              <w:numPr>
                <w:ilvl w:val="0"/>
                <w:numId w:val="3"/>
              </w:numPr>
              <w:spacing w:lineRule="auto" w:line="240" w:before="0" w:after="0"/>
              <w:contextualSpacing/>
              <w:rPr>
                <w:sz w:val="20"/>
                <w:szCs w:val="18"/>
                <w:lang w:eastAsia="en-GB"/>
              </w:rPr>
            </w:pPr>
            <w:r>
              <w:rPr>
                <w:sz w:val="20"/>
                <w:szCs w:val="18"/>
                <w:lang w:eastAsia="en-GB"/>
              </w:rPr>
              <w:t>Understanding of anti-discriminatory practice</w:t>
            </w:r>
          </w:p>
          <w:p>
            <w:pPr>
              <w:pStyle w:val="ListParagraph"/>
              <w:numPr>
                <w:ilvl w:val="0"/>
                <w:numId w:val="3"/>
              </w:numPr>
              <w:spacing w:lineRule="auto" w:line="240" w:before="0" w:after="0"/>
              <w:contextualSpacing/>
              <w:rPr>
                <w:sz w:val="20"/>
                <w:szCs w:val="18"/>
                <w:lang w:eastAsia="en-GB"/>
              </w:rPr>
            </w:pPr>
            <w:r>
              <w:rPr>
                <w:sz w:val="20"/>
                <w:szCs w:val="18"/>
                <w:lang w:eastAsia="en-GB"/>
              </w:rPr>
              <w:t>Understanding of the mental health needs of vulnerable adults</w:t>
            </w:r>
          </w:p>
          <w:p>
            <w:pPr>
              <w:pStyle w:val="ListParagraph"/>
              <w:spacing w:lineRule="auto" w:line="240" w:before="0" w:after="0"/>
              <w:contextualSpacing/>
              <w:rPr>
                <w:sz w:val="20"/>
                <w:szCs w:val="18"/>
                <w:lang w:eastAsia="en-GB"/>
              </w:rPr>
            </w:pPr>
            <w:r>
              <w:rPr>
                <w:sz w:val="20"/>
                <w:szCs w:val="18"/>
                <w:lang w:eastAsia="en-GB"/>
              </w:rPr>
            </w:r>
          </w:p>
          <w:p>
            <w:pPr>
              <w:pStyle w:val="Normal"/>
              <w:spacing w:lineRule="auto" w:line="240" w:before="0" w:after="0"/>
              <w:rPr>
                <w:rFonts w:ascii="Arial" w:hAnsi="Arial" w:cs="Arial"/>
                <w:b/>
                <w:b/>
              </w:rPr>
            </w:pPr>
            <w:r>
              <w:rPr>
                <w:rFonts w:cs="Arial" w:ascii="Arial" w:hAnsi="Arial"/>
                <w:b/>
              </w:rPr>
              <w:t>Your essential qualities</w:t>
            </w:r>
          </w:p>
          <w:p>
            <w:pPr>
              <w:pStyle w:val="Normal"/>
              <w:spacing w:lineRule="auto" w:line="240" w:before="0" w:after="0"/>
              <w:rPr>
                <w:rFonts w:ascii="Arial" w:hAnsi="Arial" w:cs="Arial"/>
              </w:rPr>
            </w:pPr>
            <w:r>
              <w:rPr>
                <w:rFonts w:cs="Arial" w:ascii="Arial" w:hAnsi="Arial"/>
              </w:rPr>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be non-judgemental</w:t>
            </w:r>
          </w:p>
          <w:p>
            <w:pPr>
              <w:pStyle w:val="Normal"/>
              <w:numPr>
                <w:ilvl w:val="0"/>
                <w:numId w:val="3"/>
              </w:numPr>
              <w:spacing w:lineRule="auto" w:line="240" w:before="0" w:after="0"/>
              <w:rPr>
                <w:rFonts w:ascii="Arial" w:hAnsi="Arial" w:cs="Arial"/>
                <w:lang w:eastAsia="en-GB"/>
              </w:rPr>
            </w:pPr>
            <w:r>
              <w:rPr>
                <w:rFonts w:cs="Arial" w:ascii="Arial" w:hAnsi="Arial"/>
                <w:lang w:eastAsia="en-GB"/>
              </w:rPr>
              <w:t>Aware of self and own values</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be assertive</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work on own initiative and as part of a team</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seek out and develop own learning</w:t>
            </w:r>
          </w:p>
          <w:p>
            <w:pPr>
              <w:pStyle w:val="Normal"/>
              <w:spacing w:lineRule="auto" w:line="240" w:before="0" w:after="0"/>
              <w:rPr>
                <w:rFonts w:ascii="Arial" w:hAnsi="Arial" w:cs="Arial"/>
                <w:lang w:eastAsia="en-GB"/>
              </w:rPr>
            </w:pPr>
            <w:r>
              <w:rPr>
                <w:rFonts w:cs="Arial" w:ascii="Arial" w:hAnsi="Arial"/>
                <w:lang w:eastAsia="en-GB"/>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cs="Arial"/>
              </w:rPr>
            </w:pPr>
            <w:r>
              <w:rPr>
                <w:rFonts w:cs="Arial" w:ascii="Arial" w:hAnsi="Arial"/>
              </w:rPr>
            </w:r>
          </w:p>
          <w:p>
            <w:pPr>
              <w:pStyle w:val="Normal"/>
              <w:numPr>
                <w:ilvl w:val="0"/>
                <w:numId w:val="3"/>
              </w:numPr>
              <w:spacing w:lineRule="auto" w:line="240" w:before="0" w:after="0"/>
              <w:rPr/>
            </w:pPr>
            <w:r>
              <w:rPr>
                <w:rFonts w:cs="Arial" w:ascii="Arial" w:hAnsi="Arial"/>
                <w:lang w:eastAsia="en-GB"/>
              </w:rPr>
              <w:t>Recognised Social Care Qualification</w:t>
            </w:r>
            <w:r>
              <w:rPr>
                <w:rFonts w:cs="Arial" w:ascii="Arial" w:hAnsi="Arial"/>
                <w:sz w:val="22"/>
                <w:szCs w:val="22"/>
              </w:rPr>
              <w:tab/>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Experience of working in an integrated system</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20"/>
        <w:szCs w:val="20"/>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sz w:val="20"/>
      <w:szCs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2026-06-18T10:22:00Z</dcterms:created>
  <dc:creator>Bernadette Wilde</dc:creator>
  <dc:description/>
  <dc:language>en-US</dc:language>
  <cp:lastModifiedBy>Rebecca Strickland</cp:lastModifiedBy>
  <cp:lastPrinted>1995-11-21T17:41:00Z</cp:lastPrinted>
  <dcterms:modified xsi:type="dcterms:W3CDTF">2026-06-18T10:22:00Z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