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bCs/>
          <w:sz w:val="22"/>
          <w:szCs w:val="22"/>
          <w:u w:val="single"/>
        </w:rPr>
      </w:pPr>
      <w:r>
        <w:rPr>
          <w:rFonts w:cs="Arial" w:ascii="Arial" w:hAnsi="Arial"/>
          <w:b/>
          <w:bCs/>
          <w:sz w:val="22"/>
          <w:szCs w:val="22"/>
          <w:u w:val="single"/>
        </w:rPr>
        <w:t>Job Description and Person Specification Profile</w:t>
      </w:r>
    </w:p>
    <w:p>
      <w:pPr>
        <w:pStyle w:val="Normal"/>
        <w:jc w:val="center"/>
        <w:rPr>
          <w:rFonts w:ascii="Arial" w:hAnsi="Arial" w:cs="Arial"/>
          <w:b/>
          <w:b/>
          <w:bCs/>
          <w:sz w:val="22"/>
          <w:szCs w:val="22"/>
        </w:rPr>
      </w:pPr>
      <w:r>
        <w:rPr>
          <w:rFonts w:cs="Arial" w:ascii="Arial" w:hAnsi="Arial"/>
          <w:b/>
          <w:bCs/>
          <w:sz w:val="22"/>
          <w:szCs w:val="22"/>
        </w:rPr>
      </w:r>
    </w:p>
    <w:tbl>
      <w:tblPr>
        <w:tblW w:w="15990" w:type="dxa"/>
        <w:jc w:val="left"/>
        <w:tblInd w:w="0" w:type="dxa"/>
        <w:tblCellMar>
          <w:top w:w="0" w:type="dxa"/>
          <w:left w:w="108" w:type="dxa"/>
          <w:bottom w:w="0" w:type="dxa"/>
          <w:right w:w="108" w:type="dxa"/>
        </w:tblCellMar>
      </w:tblPr>
      <w:tblGrid>
        <w:gridCol w:w="8363"/>
        <w:gridCol w:w="7627"/>
      </w:tblGrid>
      <w:tr>
        <w:trPr/>
        <w:tc>
          <w:tcPr>
            <w:tcW w:w="8363"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 xml:space="preserve">Job Title: Assistant Team Manager Adult Social Care Mental Health team </w:t>
            </w:r>
          </w:p>
        </w:tc>
        <w:tc>
          <w:tcPr>
            <w:tcW w:w="7627" w:type="dxa"/>
            <w:tcBorders/>
            <w:shd w:fill="auto" w:val="clear"/>
          </w:tcPr>
          <w:p>
            <w:pPr>
              <w:pStyle w:val="Normal"/>
              <w:snapToGrid w:val="false"/>
              <w:spacing w:lineRule="auto" w:line="240" w:before="0" w:after="0"/>
              <w:rPr>
                <w:rFonts w:ascii="Arial" w:hAnsi="Arial" w:cs="Arial"/>
                <w:sz w:val="22"/>
                <w:szCs w:val="22"/>
              </w:rPr>
            </w:pPr>
            <w:r>
              <w:rPr>
                <w:rFonts w:cs="Arial" w:ascii="Arial" w:hAnsi="Arial"/>
                <w:sz w:val="22"/>
                <w:szCs w:val="22"/>
              </w:rPr>
            </w:r>
          </w:p>
        </w:tc>
      </w:tr>
      <w:tr>
        <w:trPr/>
        <w:tc>
          <w:tcPr>
            <w:tcW w:w="8363" w:type="dxa"/>
            <w:tcBorders/>
            <w:shd w:fill="auto" w:val="clear"/>
          </w:tcPr>
          <w:p>
            <w:pPr>
              <w:pStyle w:val="Normal"/>
              <w:spacing w:lineRule="auto" w:line="240" w:before="0" w:after="0"/>
              <w:rPr/>
            </w:pPr>
            <w:r>
              <w:rPr>
                <w:rFonts w:cs="Arial" w:ascii="Arial" w:hAnsi="Arial"/>
                <w:b/>
                <w:bCs/>
                <w:sz w:val="22"/>
                <w:szCs w:val="22"/>
              </w:rPr>
              <w:t>Job ID: JH 09P</w:t>
            </w:r>
            <w:r>
              <w:rPr/>
              <w:t xml:space="preserve">  </w:t>
            </w:r>
          </w:p>
        </w:tc>
        <w:tc>
          <w:tcPr>
            <w:tcW w:w="7627" w:type="dxa"/>
            <w:tcBorders/>
            <w:shd w:fill="auto" w:val="clear"/>
          </w:tcPr>
          <w:p>
            <w:pPr>
              <w:pStyle w:val="Normal"/>
              <w:snapToGrid w:val="false"/>
              <w:spacing w:lineRule="auto" w:line="240" w:before="0" w:after="0"/>
              <w:rPr>
                <w:rFonts w:ascii="Arial" w:hAnsi="Arial" w:cs="Arial"/>
                <w:sz w:val="22"/>
                <w:szCs w:val="22"/>
              </w:rPr>
            </w:pPr>
            <w:r>
              <w:rPr>
                <w:rFonts w:cs="Arial" w:ascii="Arial" w:hAnsi="Arial"/>
                <w:sz w:val="22"/>
                <w:szCs w:val="22"/>
              </w:rPr>
            </w:r>
          </w:p>
        </w:tc>
      </w:tr>
      <w:tr>
        <w:trPr/>
        <w:tc>
          <w:tcPr>
            <w:tcW w:w="8363" w:type="dxa"/>
            <w:tcBorders/>
            <w:shd w:fill="auto" w:val="clear"/>
          </w:tcPr>
          <w:p>
            <w:pPr>
              <w:pStyle w:val="Normal"/>
              <w:spacing w:lineRule="auto" w:line="240" w:before="0" w:after="0"/>
              <w:rPr/>
            </w:pPr>
            <w:r>
              <w:rPr>
                <w:rFonts w:cs="Arial" w:ascii="Arial" w:hAnsi="Arial"/>
                <w:b/>
                <w:bCs/>
                <w:sz w:val="22"/>
                <w:szCs w:val="22"/>
              </w:rPr>
              <w:t>Service:</w:t>
            </w:r>
            <w:r>
              <w:rPr/>
              <w:t xml:space="preserve"> </w:t>
            </w:r>
            <w:r>
              <w:rPr>
                <w:rFonts w:cs="Arial" w:ascii="Arial" w:hAnsi="Arial"/>
                <w:b/>
                <w:bCs/>
                <w:sz w:val="22"/>
                <w:szCs w:val="22"/>
              </w:rPr>
              <w:t>Adults, Mental Health Learning Disabilities and Autism</w:t>
            </w:r>
          </w:p>
        </w:tc>
        <w:tc>
          <w:tcPr>
            <w:tcW w:w="7627" w:type="dxa"/>
            <w:tcBorders/>
            <w:shd w:fill="auto" w:val="clear"/>
          </w:tcPr>
          <w:p>
            <w:pPr>
              <w:pStyle w:val="Normal"/>
              <w:snapToGrid w:val="false"/>
              <w:spacing w:lineRule="auto" w:line="240" w:before="0" w:after="0"/>
              <w:rPr>
                <w:rFonts w:ascii="Arial" w:hAnsi="Arial" w:cs="Arial"/>
                <w:sz w:val="22"/>
                <w:szCs w:val="22"/>
              </w:rPr>
            </w:pPr>
            <w:r>
              <w:rPr>
                <w:rFonts w:cs="Arial" w:ascii="Arial" w:hAnsi="Arial"/>
                <w:sz w:val="22"/>
                <w:szCs w:val="22"/>
              </w:rPr>
            </w:r>
          </w:p>
        </w:tc>
      </w:tr>
      <w:tr>
        <w:trPr/>
        <w:tc>
          <w:tcPr>
            <w:tcW w:w="8363" w:type="dxa"/>
            <w:tcBorders/>
            <w:shd w:fill="auto" w:val="clear"/>
          </w:tcPr>
          <w:p>
            <w:pPr>
              <w:pStyle w:val="Normal"/>
              <w:spacing w:lineRule="auto" w:line="240" w:before="0" w:after="0"/>
              <w:rPr/>
            </w:pPr>
            <w:r>
              <w:rPr>
                <w:rFonts w:cs="Arial" w:ascii="Arial" w:hAnsi="Arial"/>
                <w:b/>
                <w:bCs/>
                <w:sz w:val="22"/>
                <w:szCs w:val="22"/>
              </w:rPr>
              <w:t>Grade: I</w:t>
            </w:r>
            <w:r>
              <w:rPr/>
              <w:t xml:space="preserve"> </w:t>
            </w:r>
            <w:r>
              <w:rPr>
                <w:rFonts w:cs="Arial" w:ascii="Arial" w:hAnsi="Arial"/>
                <w:b/>
                <w:bCs/>
                <w:sz w:val="22"/>
                <w:szCs w:val="22"/>
              </w:rPr>
              <w:t>Grade I to I+ £46,142- £50,269</w:t>
            </w:r>
          </w:p>
        </w:tc>
        <w:tc>
          <w:tcPr>
            <w:tcW w:w="7627" w:type="dxa"/>
            <w:tcBorders/>
            <w:shd w:fill="auto" w:val="clear"/>
          </w:tcPr>
          <w:p>
            <w:pPr>
              <w:pStyle w:val="Normal"/>
              <w:snapToGrid w:val="false"/>
              <w:spacing w:lineRule="auto" w:line="240" w:before="0" w:after="0"/>
              <w:rPr>
                <w:rFonts w:ascii="Arial" w:hAnsi="Arial" w:cs="Arial"/>
                <w:sz w:val="22"/>
                <w:szCs w:val="22"/>
              </w:rPr>
            </w:pPr>
            <w:r>
              <w:rPr>
                <w:rFonts w:cs="Arial" w:ascii="Arial" w:hAnsi="Arial"/>
                <w:sz w:val="22"/>
                <w:szCs w:val="22"/>
              </w:rPr>
            </w:r>
          </w:p>
        </w:tc>
      </w:tr>
      <w:tr>
        <w:trPr/>
        <w:tc>
          <w:tcPr>
            <w:tcW w:w="8363"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 xml:space="preserve">Reporting to: Team Manager </w:t>
            </w:r>
          </w:p>
        </w:tc>
        <w:tc>
          <w:tcPr>
            <w:tcW w:w="7627" w:type="dxa"/>
            <w:tcBorders/>
            <w:shd w:fill="auto" w:val="clear"/>
          </w:tcPr>
          <w:p>
            <w:pPr>
              <w:pStyle w:val="Normal"/>
              <w:snapToGrid w:val="false"/>
              <w:spacing w:lineRule="auto" w:line="240" w:before="0" w:after="0"/>
              <w:rPr>
                <w:rFonts w:ascii="Arial" w:hAnsi="Arial" w:cs="Arial"/>
                <w:sz w:val="22"/>
                <w:szCs w:val="22"/>
              </w:rPr>
            </w:pPr>
            <w:r>
              <w:rPr>
                <w:rFonts w:cs="Arial" w:ascii="Arial" w:hAnsi="Arial"/>
                <w:sz w:val="22"/>
                <w:szCs w:val="22"/>
              </w:rPr>
            </w:r>
          </w:p>
        </w:tc>
      </w:tr>
    </w:tbl>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tbl>
      <w:tblPr>
        <w:tblW w:w="9520" w:type="dxa"/>
        <w:jc w:val="left"/>
        <w:tblInd w:w="0" w:type="dxa"/>
        <w:tblCellMar>
          <w:top w:w="0" w:type="dxa"/>
          <w:left w:w="108" w:type="dxa"/>
          <w:bottom w:w="0" w:type="dxa"/>
          <w:right w:w="108" w:type="dxa"/>
        </w:tblCellMar>
      </w:tblPr>
      <w:tblGrid>
        <w:gridCol w:w="9520"/>
      </w:tblGrid>
      <w:tr>
        <w:trPr/>
        <w:tc>
          <w:tcPr>
            <w:tcW w:w="9520" w:type="dxa"/>
            <w:tcBorders>
              <w:top w:val="single" w:sz="18" w:space="0" w:color="7030A0"/>
              <w:left w:val="single" w:sz="18" w:space="0" w:color="7030A0"/>
              <w:bottom w:val="single" w:sz="18" w:space="0" w:color="7030A0"/>
              <w:right w:val="single" w:sz="18" w:space="0" w:color="7030A0"/>
            </w:tcBorders>
            <w:shd w:fill="FFE599"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The Role</w:t>
            </w:r>
          </w:p>
        </w:tc>
      </w:tr>
      <w:tr>
        <w:trPr>
          <w:trHeight w:val="3313" w:hRule="atLeast"/>
        </w:trPr>
        <w:tc>
          <w:tcPr>
            <w:tcW w:w="9520" w:type="dxa"/>
            <w:tcBorders>
              <w:top w:val="single" w:sz="18" w:space="0" w:color="7030A0"/>
              <w:left w:val="single" w:sz="18" w:space="0" w:color="7030A0"/>
              <w:bottom w:val="single" w:sz="18" w:space="0" w:color="7030A0"/>
              <w:right w:val="single" w:sz="18" w:space="0" w:color="7030A0"/>
            </w:tcBorders>
            <w:shd w:fill="auto" w:val="clear"/>
          </w:tcPr>
          <w:p>
            <w:pPr>
              <w:pStyle w:val="Normal"/>
              <w:spacing w:lineRule="auto" w:line="240" w:before="120" w:after="0"/>
              <w:jc w:val="both"/>
              <w:rPr>
                <w:rFonts w:ascii="Arial" w:hAnsi="Arial" w:cs="Arial"/>
                <w:b/>
                <w:b/>
                <w:sz w:val="22"/>
                <w:szCs w:val="22"/>
              </w:rPr>
            </w:pPr>
            <w:r>
              <w:rPr>
                <w:rFonts w:cs="Arial" w:ascii="Arial" w:hAnsi="Arial"/>
                <w:b/>
                <w:sz w:val="22"/>
                <w:szCs w:val="22"/>
              </w:rPr>
              <w:t>Main Duties and Responsibilities include:</w:t>
            </w:r>
          </w:p>
          <w:p>
            <w:pPr>
              <w:pStyle w:val="Default"/>
              <w:spacing w:lineRule="auto" w:line="240" w:before="0" w:after="0"/>
              <w:ind w:left="780" w:right="0" w:hanging="0"/>
              <w:rPr>
                <w:sz w:val="22"/>
                <w:szCs w:val="22"/>
                <w:highlight w:val="yellow"/>
              </w:rPr>
            </w:pPr>
            <w:r>
              <w:rPr>
                <w:sz w:val="22"/>
                <w:szCs w:val="22"/>
                <w:highlight w:val="yellow"/>
              </w:rPr>
            </w:r>
          </w:p>
          <w:p>
            <w:pPr>
              <w:pStyle w:val="TextBody"/>
              <w:numPr>
                <w:ilvl w:val="0"/>
                <w:numId w:val="5"/>
              </w:numPr>
              <w:spacing w:lineRule="auto" w:line="240" w:before="0" w:after="0"/>
              <w:rPr>
                <w:b w:val="false"/>
                <w:b w:val="false"/>
                <w:sz w:val="22"/>
                <w:szCs w:val="22"/>
              </w:rPr>
            </w:pPr>
            <w:r>
              <w:rPr>
                <w:b w:val="false"/>
                <w:sz w:val="22"/>
                <w:szCs w:val="22"/>
              </w:rPr>
              <w:t>To assist the Team Manager in the organisation, management and supervision of social care services.</w:t>
            </w:r>
          </w:p>
          <w:p>
            <w:pPr>
              <w:pStyle w:val="TextBody"/>
              <w:numPr>
                <w:ilvl w:val="0"/>
                <w:numId w:val="5"/>
              </w:numPr>
              <w:spacing w:lineRule="auto" w:line="240" w:before="0" w:after="0"/>
              <w:rPr>
                <w:b w:val="false"/>
                <w:b w:val="false"/>
                <w:sz w:val="22"/>
                <w:szCs w:val="22"/>
              </w:rPr>
            </w:pPr>
            <w:r>
              <w:rPr>
                <w:b w:val="false"/>
                <w:sz w:val="22"/>
                <w:szCs w:val="22"/>
              </w:rPr>
              <w:t>To contribute to overall strategic planning and management of the service and to the development of high-quality services.</w:t>
            </w:r>
          </w:p>
          <w:p>
            <w:pPr>
              <w:pStyle w:val="TextBody"/>
              <w:numPr>
                <w:ilvl w:val="0"/>
                <w:numId w:val="5"/>
              </w:numPr>
              <w:spacing w:lineRule="auto" w:line="240" w:before="0" w:after="0"/>
              <w:rPr>
                <w:b w:val="false"/>
                <w:b w:val="false"/>
                <w:sz w:val="22"/>
                <w:szCs w:val="22"/>
              </w:rPr>
            </w:pPr>
            <w:r>
              <w:rPr>
                <w:b w:val="false"/>
                <w:sz w:val="22"/>
                <w:szCs w:val="22"/>
              </w:rPr>
              <w:t>To assist the Team Manager in leading the team ensuring that the functions of the Unit are carried out effectively and in accordance with legislation, regulations, guidance, standards and local procedures and priorities.</w:t>
            </w:r>
          </w:p>
          <w:p>
            <w:pPr>
              <w:pStyle w:val="TextBody"/>
              <w:numPr>
                <w:ilvl w:val="0"/>
                <w:numId w:val="5"/>
              </w:numPr>
              <w:spacing w:lineRule="auto" w:line="240" w:before="0" w:after="0"/>
              <w:rPr>
                <w:b w:val="false"/>
                <w:b w:val="false"/>
                <w:sz w:val="22"/>
                <w:szCs w:val="22"/>
              </w:rPr>
            </w:pPr>
            <w:r>
              <w:rPr>
                <w:b w:val="false"/>
                <w:sz w:val="22"/>
                <w:szCs w:val="22"/>
              </w:rPr>
              <w:t>To continually improve services in the light of service user views, performance data and stakeholder feedback.</w:t>
            </w:r>
          </w:p>
          <w:p>
            <w:pPr>
              <w:pStyle w:val="TextBody"/>
              <w:spacing w:lineRule="auto" w:line="240" w:before="0" w:after="0"/>
              <w:rPr>
                <w:b w:val="false"/>
                <w:b w:val="false"/>
                <w:sz w:val="22"/>
                <w:szCs w:val="22"/>
              </w:rPr>
            </w:pPr>
            <w:r>
              <w:rPr>
                <w:b w:val="false"/>
                <w:sz w:val="22"/>
                <w:szCs w:val="22"/>
              </w:rPr>
            </w:r>
          </w:p>
          <w:p>
            <w:pPr>
              <w:pStyle w:val="TextBody"/>
              <w:spacing w:lineRule="auto" w:line="240" w:before="0" w:after="0"/>
              <w:rPr>
                <w:bCs w:val="false"/>
                <w:sz w:val="22"/>
                <w:szCs w:val="22"/>
              </w:rPr>
            </w:pPr>
            <w:r>
              <w:rPr>
                <w:bCs w:val="false"/>
                <w:sz w:val="22"/>
                <w:szCs w:val="22"/>
              </w:rPr>
              <w:t>Management of People</w:t>
            </w:r>
          </w:p>
          <w:p>
            <w:pPr>
              <w:pStyle w:val="TextBody"/>
              <w:spacing w:lineRule="auto" w:line="240" w:before="0" w:after="0"/>
              <w:rPr>
                <w:b w:val="false"/>
                <w:b w:val="false"/>
                <w:sz w:val="22"/>
                <w:szCs w:val="22"/>
              </w:rPr>
            </w:pPr>
            <w:r>
              <w:rPr>
                <w:b w:val="false"/>
                <w:sz w:val="22"/>
                <w:szCs w:val="22"/>
              </w:rPr>
              <w:t>To assist the Team Manager in relation to the following: -</w:t>
            </w:r>
          </w:p>
          <w:p>
            <w:pPr>
              <w:pStyle w:val="TextBody"/>
              <w:spacing w:lineRule="auto" w:line="240" w:before="0" w:after="0"/>
              <w:rPr>
                <w:bCs w:val="false"/>
                <w:sz w:val="22"/>
                <w:szCs w:val="22"/>
              </w:rPr>
            </w:pPr>
            <w:r>
              <w:rPr>
                <w:bCs w:val="false"/>
                <w:sz w:val="22"/>
                <w:szCs w:val="22"/>
              </w:rPr>
            </w:r>
          </w:p>
          <w:p>
            <w:pPr>
              <w:pStyle w:val="TextBody"/>
              <w:numPr>
                <w:ilvl w:val="0"/>
                <w:numId w:val="6"/>
              </w:numPr>
              <w:spacing w:lineRule="auto" w:line="240" w:before="0" w:after="0"/>
              <w:rPr>
                <w:b w:val="false"/>
                <w:b w:val="false"/>
                <w:sz w:val="22"/>
                <w:szCs w:val="22"/>
              </w:rPr>
            </w:pPr>
            <w:r>
              <w:rPr>
                <w:b w:val="false"/>
                <w:sz w:val="22"/>
                <w:szCs w:val="22"/>
              </w:rPr>
              <w:t>Managing the Team in line with Departmental policy, procedures and guidelines.</w:t>
            </w:r>
          </w:p>
          <w:p>
            <w:pPr>
              <w:pStyle w:val="TextBody"/>
              <w:numPr>
                <w:ilvl w:val="0"/>
                <w:numId w:val="6"/>
              </w:numPr>
              <w:spacing w:lineRule="auto" w:line="240" w:before="0" w:after="0"/>
              <w:rPr>
                <w:b w:val="false"/>
                <w:b w:val="false"/>
                <w:sz w:val="22"/>
                <w:szCs w:val="22"/>
              </w:rPr>
            </w:pPr>
            <w:r>
              <w:rPr>
                <w:b w:val="false"/>
                <w:sz w:val="22"/>
                <w:szCs w:val="22"/>
              </w:rPr>
              <w:t>Manage staff in the team.</w:t>
            </w:r>
          </w:p>
          <w:p>
            <w:pPr>
              <w:pStyle w:val="TextBody"/>
              <w:numPr>
                <w:ilvl w:val="0"/>
                <w:numId w:val="6"/>
              </w:numPr>
              <w:spacing w:lineRule="auto" w:line="240" w:before="0" w:after="0"/>
              <w:rPr>
                <w:b w:val="false"/>
                <w:b w:val="false"/>
                <w:sz w:val="22"/>
                <w:szCs w:val="22"/>
              </w:rPr>
            </w:pPr>
            <w:r>
              <w:rPr>
                <w:b w:val="false"/>
                <w:sz w:val="22"/>
                <w:szCs w:val="22"/>
              </w:rPr>
              <w:t>Implementing the Department's Supervision Policy.</w:t>
            </w:r>
          </w:p>
          <w:p>
            <w:pPr>
              <w:pStyle w:val="TextBody"/>
              <w:numPr>
                <w:ilvl w:val="0"/>
                <w:numId w:val="6"/>
              </w:numPr>
              <w:spacing w:lineRule="auto" w:line="240" w:before="0" w:after="0"/>
              <w:rPr>
                <w:b w:val="false"/>
                <w:b w:val="false"/>
                <w:sz w:val="22"/>
                <w:szCs w:val="22"/>
              </w:rPr>
            </w:pPr>
            <w:r>
              <w:rPr>
                <w:b w:val="false"/>
                <w:sz w:val="22"/>
                <w:szCs w:val="22"/>
              </w:rPr>
              <w:t>Addressing issues concerning staff welfare in accordance with Adult Social Care practice and Staff Care Policies.</w:t>
            </w:r>
          </w:p>
          <w:p>
            <w:pPr>
              <w:pStyle w:val="TextBody"/>
              <w:numPr>
                <w:ilvl w:val="0"/>
                <w:numId w:val="6"/>
              </w:numPr>
              <w:spacing w:lineRule="auto" w:line="240" w:before="0" w:after="0"/>
              <w:rPr>
                <w:b w:val="false"/>
                <w:b w:val="false"/>
                <w:sz w:val="22"/>
                <w:szCs w:val="22"/>
              </w:rPr>
            </w:pPr>
            <w:r>
              <w:rPr>
                <w:b w:val="false"/>
                <w:sz w:val="22"/>
                <w:szCs w:val="22"/>
              </w:rPr>
              <w:t>Comply with the Authority's Health and Safety Regulations.</w:t>
            </w:r>
          </w:p>
          <w:p>
            <w:pPr>
              <w:pStyle w:val="TextBody"/>
              <w:numPr>
                <w:ilvl w:val="0"/>
                <w:numId w:val="6"/>
              </w:numPr>
              <w:spacing w:lineRule="auto" w:line="240" w:before="0" w:after="0"/>
              <w:rPr>
                <w:b w:val="false"/>
                <w:b w:val="false"/>
                <w:sz w:val="22"/>
                <w:szCs w:val="22"/>
              </w:rPr>
            </w:pPr>
            <w:r>
              <w:rPr>
                <w:b w:val="false"/>
                <w:sz w:val="22"/>
                <w:szCs w:val="22"/>
              </w:rPr>
              <w:t>Induction of new staff joining the team as per Adult Social Care policy.</w:t>
            </w:r>
          </w:p>
          <w:p>
            <w:pPr>
              <w:pStyle w:val="TextBody"/>
              <w:numPr>
                <w:ilvl w:val="0"/>
                <w:numId w:val="6"/>
              </w:numPr>
              <w:spacing w:lineRule="auto" w:line="240" w:before="0" w:after="0"/>
              <w:rPr>
                <w:b w:val="false"/>
                <w:b w:val="false"/>
                <w:sz w:val="22"/>
                <w:szCs w:val="22"/>
              </w:rPr>
            </w:pPr>
            <w:r>
              <w:rPr>
                <w:b w:val="false"/>
                <w:sz w:val="22"/>
                <w:szCs w:val="22"/>
              </w:rPr>
              <w:t>Ensuring that staffing practices of the Team are in accordance with Adult Social Care guidelines, e.g. in relation to casual/temporary employment.</w:t>
            </w:r>
          </w:p>
          <w:p>
            <w:pPr>
              <w:pStyle w:val="TextBody"/>
              <w:numPr>
                <w:ilvl w:val="0"/>
                <w:numId w:val="6"/>
              </w:numPr>
              <w:spacing w:lineRule="auto" w:line="240" w:before="0" w:after="0"/>
              <w:rPr>
                <w:b w:val="false"/>
                <w:b w:val="false"/>
                <w:sz w:val="22"/>
                <w:szCs w:val="22"/>
              </w:rPr>
            </w:pPr>
            <w:r>
              <w:rPr>
                <w:b w:val="false"/>
                <w:sz w:val="22"/>
                <w:szCs w:val="22"/>
              </w:rPr>
              <w:t>Evaluate and action the training and developmental needs of staff within the Team in accordance with the Authority's Employee Development Review Scheme and Departmental Training Strategy.</w:t>
            </w:r>
          </w:p>
          <w:p>
            <w:pPr>
              <w:pStyle w:val="TextBody"/>
              <w:numPr>
                <w:ilvl w:val="0"/>
                <w:numId w:val="6"/>
              </w:numPr>
              <w:spacing w:lineRule="auto" w:line="240" w:before="0" w:after="0"/>
              <w:rPr>
                <w:b w:val="false"/>
                <w:b w:val="false"/>
                <w:sz w:val="22"/>
                <w:szCs w:val="22"/>
              </w:rPr>
            </w:pPr>
            <w:r>
              <w:rPr>
                <w:b w:val="false"/>
                <w:sz w:val="22"/>
                <w:szCs w:val="22"/>
              </w:rPr>
              <w:t xml:space="preserve">Adhere to the Adult Social Care Human Resource Guidelines for Managers, with reference to: </w:t>
            </w:r>
          </w:p>
          <w:p>
            <w:pPr>
              <w:pStyle w:val="TextBody"/>
              <w:numPr>
                <w:ilvl w:val="1"/>
                <w:numId w:val="6"/>
              </w:numPr>
              <w:spacing w:lineRule="auto" w:line="240" w:before="0" w:after="0"/>
              <w:rPr>
                <w:b w:val="false"/>
                <w:b w:val="false"/>
                <w:sz w:val="22"/>
                <w:szCs w:val="22"/>
              </w:rPr>
            </w:pPr>
            <w:r>
              <w:rPr>
                <w:b w:val="false"/>
                <w:sz w:val="22"/>
                <w:szCs w:val="22"/>
              </w:rPr>
              <w:t>Recruitment and Selection</w:t>
            </w:r>
          </w:p>
          <w:p>
            <w:pPr>
              <w:pStyle w:val="TextBody"/>
              <w:numPr>
                <w:ilvl w:val="1"/>
                <w:numId w:val="6"/>
              </w:numPr>
              <w:spacing w:lineRule="auto" w:line="240" w:before="0" w:after="0"/>
              <w:rPr>
                <w:b w:val="false"/>
                <w:b w:val="false"/>
                <w:sz w:val="22"/>
                <w:szCs w:val="22"/>
              </w:rPr>
            </w:pPr>
            <w:r>
              <w:rPr>
                <w:b w:val="false"/>
                <w:sz w:val="22"/>
                <w:szCs w:val="22"/>
              </w:rPr>
              <w:t>Disciplinary/Grievance/Capability Procedures</w:t>
            </w:r>
          </w:p>
          <w:p>
            <w:pPr>
              <w:pStyle w:val="TextBody"/>
              <w:numPr>
                <w:ilvl w:val="1"/>
                <w:numId w:val="6"/>
              </w:numPr>
              <w:spacing w:lineRule="auto" w:line="240" w:before="0" w:after="0"/>
              <w:rPr>
                <w:b w:val="false"/>
                <w:b w:val="false"/>
                <w:sz w:val="22"/>
                <w:szCs w:val="22"/>
              </w:rPr>
            </w:pPr>
            <w:r>
              <w:rPr>
                <w:b w:val="false"/>
                <w:sz w:val="22"/>
                <w:szCs w:val="22"/>
              </w:rPr>
              <w:t>Equal opportunities Employment Code of Practice</w:t>
            </w:r>
          </w:p>
          <w:p>
            <w:pPr>
              <w:pStyle w:val="TextBody"/>
              <w:numPr>
                <w:ilvl w:val="1"/>
                <w:numId w:val="6"/>
              </w:numPr>
              <w:spacing w:lineRule="auto" w:line="240" w:before="0" w:after="0"/>
              <w:rPr>
                <w:b w:val="false"/>
                <w:b w:val="false"/>
                <w:sz w:val="22"/>
                <w:szCs w:val="22"/>
              </w:rPr>
            </w:pPr>
            <w:r>
              <w:rPr>
                <w:b w:val="false"/>
                <w:sz w:val="22"/>
                <w:szCs w:val="22"/>
              </w:rPr>
              <w:t>Attendance issues, i.e. Annual Leave, Flexi Leave, Sickness Absence, Compassionate/Special Leave, Flexible working, Maternity Provision.</w:t>
            </w:r>
          </w:p>
          <w:p>
            <w:pPr>
              <w:pStyle w:val="TextBody"/>
              <w:numPr>
                <w:ilvl w:val="1"/>
                <w:numId w:val="6"/>
              </w:numPr>
              <w:spacing w:lineRule="auto" w:line="240" w:before="0" w:after="0"/>
              <w:rPr>
                <w:b w:val="false"/>
                <w:b w:val="false"/>
                <w:sz w:val="22"/>
                <w:szCs w:val="22"/>
              </w:rPr>
            </w:pPr>
            <w:r>
              <w:rPr>
                <w:b w:val="false"/>
                <w:sz w:val="22"/>
                <w:szCs w:val="22"/>
              </w:rPr>
              <w:t>Exit interviews</w:t>
            </w:r>
          </w:p>
          <w:p>
            <w:pPr>
              <w:pStyle w:val="TextBody"/>
              <w:spacing w:lineRule="auto" w:line="240" w:before="0" w:after="0"/>
              <w:rPr>
                <w:b w:val="false"/>
                <w:b w:val="false"/>
                <w:sz w:val="22"/>
                <w:szCs w:val="22"/>
              </w:rPr>
            </w:pPr>
            <w:r>
              <w:rPr>
                <w:b w:val="false"/>
                <w:sz w:val="22"/>
                <w:szCs w:val="22"/>
              </w:rPr>
            </w:r>
          </w:p>
          <w:p>
            <w:pPr>
              <w:pStyle w:val="TextBody"/>
              <w:spacing w:lineRule="auto" w:line="240" w:before="0" w:after="0"/>
              <w:rPr>
                <w:bCs w:val="false"/>
                <w:sz w:val="22"/>
                <w:szCs w:val="22"/>
              </w:rPr>
            </w:pPr>
            <w:r>
              <w:rPr>
                <w:bCs w:val="false"/>
                <w:sz w:val="22"/>
                <w:szCs w:val="22"/>
              </w:rPr>
              <w:t>Management of Finance and Resources</w:t>
            </w:r>
          </w:p>
          <w:p>
            <w:pPr>
              <w:pStyle w:val="TextBody"/>
              <w:spacing w:lineRule="auto" w:line="240" w:before="0" w:after="0"/>
              <w:rPr>
                <w:b w:val="false"/>
                <w:b w:val="false"/>
                <w:sz w:val="22"/>
                <w:szCs w:val="22"/>
              </w:rPr>
            </w:pPr>
            <w:r>
              <w:rPr>
                <w:b w:val="false"/>
                <w:sz w:val="22"/>
                <w:szCs w:val="22"/>
              </w:rPr>
              <w:t>To assist the Team Manager in relation to the following:-</w:t>
            </w:r>
          </w:p>
          <w:p>
            <w:pPr>
              <w:pStyle w:val="TextBody"/>
              <w:spacing w:lineRule="auto" w:line="240" w:before="0" w:after="0"/>
              <w:rPr>
                <w:b w:val="false"/>
                <w:b w:val="false"/>
                <w:sz w:val="22"/>
                <w:szCs w:val="22"/>
              </w:rPr>
            </w:pPr>
            <w:r>
              <w:rPr>
                <w:b w:val="false"/>
                <w:sz w:val="22"/>
                <w:szCs w:val="22"/>
              </w:rPr>
            </w:r>
          </w:p>
          <w:p>
            <w:pPr>
              <w:pStyle w:val="TextBody"/>
              <w:numPr>
                <w:ilvl w:val="0"/>
                <w:numId w:val="7"/>
              </w:numPr>
              <w:spacing w:lineRule="auto" w:line="240" w:before="0" w:after="0"/>
              <w:rPr>
                <w:b w:val="false"/>
                <w:b w:val="false"/>
                <w:sz w:val="22"/>
                <w:szCs w:val="22"/>
              </w:rPr>
            </w:pPr>
            <w:r>
              <w:rPr>
                <w:b w:val="false"/>
                <w:sz w:val="22"/>
                <w:szCs w:val="22"/>
              </w:rPr>
              <w:t>Management of all budgets held by the Team.</w:t>
            </w:r>
          </w:p>
          <w:p>
            <w:pPr>
              <w:pStyle w:val="TextBody"/>
              <w:numPr>
                <w:ilvl w:val="0"/>
                <w:numId w:val="7"/>
              </w:numPr>
              <w:spacing w:lineRule="auto" w:line="240" w:before="0" w:after="0"/>
              <w:rPr>
                <w:b w:val="false"/>
                <w:b w:val="false"/>
                <w:sz w:val="22"/>
                <w:szCs w:val="22"/>
              </w:rPr>
            </w:pPr>
            <w:r>
              <w:rPr>
                <w:b w:val="false"/>
                <w:sz w:val="22"/>
                <w:szCs w:val="22"/>
              </w:rPr>
              <w:t>Responsibility for budget monitoring and for the control of income and expenditure within approved levels.</w:t>
            </w:r>
          </w:p>
          <w:p>
            <w:pPr>
              <w:pStyle w:val="TextBody"/>
              <w:numPr>
                <w:ilvl w:val="0"/>
                <w:numId w:val="7"/>
              </w:numPr>
              <w:spacing w:lineRule="auto" w:line="240" w:before="0" w:after="0"/>
              <w:rPr>
                <w:b w:val="false"/>
                <w:b w:val="false"/>
                <w:sz w:val="22"/>
                <w:szCs w:val="22"/>
              </w:rPr>
            </w:pPr>
            <w:r>
              <w:rPr>
                <w:b w:val="false"/>
                <w:sz w:val="22"/>
                <w:szCs w:val="22"/>
              </w:rPr>
              <w:t>Ensure that the Team operates within the Departmental Scheme of Financial Delegation, Council Standing Orders and Financial Regulations.</w:t>
            </w:r>
          </w:p>
          <w:p>
            <w:pPr>
              <w:pStyle w:val="TextBody"/>
              <w:numPr>
                <w:ilvl w:val="0"/>
                <w:numId w:val="7"/>
              </w:numPr>
              <w:spacing w:lineRule="auto" w:line="240" w:before="0" w:after="0"/>
              <w:rPr>
                <w:b w:val="false"/>
                <w:b w:val="false"/>
                <w:sz w:val="22"/>
                <w:szCs w:val="22"/>
              </w:rPr>
            </w:pPr>
            <w:r>
              <w:rPr>
                <w:b w:val="false"/>
                <w:sz w:val="22"/>
                <w:szCs w:val="22"/>
              </w:rPr>
              <w:t>Manage allocation of work in accordance with priorities, ensuring that assessments, care plans and review functions are implemented where required, and monitored and reviewed according to local procedures and priorities.</w:t>
            </w:r>
          </w:p>
          <w:p>
            <w:pPr>
              <w:pStyle w:val="TextBody"/>
              <w:numPr>
                <w:ilvl w:val="0"/>
                <w:numId w:val="7"/>
              </w:numPr>
              <w:spacing w:lineRule="auto" w:line="240" w:before="0" w:after="0"/>
              <w:rPr>
                <w:b w:val="false"/>
                <w:b w:val="false"/>
                <w:sz w:val="22"/>
                <w:szCs w:val="22"/>
              </w:rPr>
            </w:pPr>
            <w:r>
              <w:rPr>
                <w:b w:val="false"/>
                <w:sz w:val="22"/>
                <w:szCs w:val="22"/>
              </w:rPr>
              <w:t>Maintain effective workload monitoring within the Team</w:t>
            </w:r>
          </w:p>
          <w:p>
            <w:pPr>
              <w:pStyle w:val="TextBody"/>
              <w:numPr>
                <w:ilvl w:val="0"/>
                <w:numId w:val="7"/>
              </w:numPr>
              <w:spacing w:lineRule="auto" w:line="240" w:before="0" w:after="0"/>
              <w:rPr>
                <w:b w:val="false"/>
                <w:b w:val="false"/>
                <w:sz w:val="22"/>
                <w:szCs w:val="22"/>
              </w:rPr>
            </w:pPr>
            <w:r>
              <w:rPr>
                <w:b w:val="false"/>
                <w:sz w:val="22"/>
                <w:szCs w:val="22"/>
              </w:rPr>
              <w:t>Contribute to the development of unit costs for the Team's activity</w:t>
            </w:r>
          </w:p>
          <w:p>
            <w:pPr>
              <w:pStyle w:val="TextBody"/>
              <w:numPr>
                <w:ilvl w:val="0"/>
                <w:numId w:val="7"/>
              </w:numPr>
              <w:spacing w:lineRule="auto" w:line="240" w:before="0" w:after="0"/>
              <w:rPr>
                <w:b w:val="false"/>
                <w:b w:val="false"/>
                <w:sz w:val="22"/>
                <w:szCs w:val="22"/>
              </w:rPr>
            </w:pPr>
            <w:r>
              <w:rPr>
                <w:b w:val="false"/>
                <w:sz w:val="22"/>
                <w:szCs w:val="22"/>
              </w:rPr>
              <w:t>Participate in out of hours management cover as appropriate to the service area.</w:t>
            </w:r>
          </w:p>
          <w:p>
            <w:pPr>
              <w:pStyle w:val="TextBody"/>
              <w:numPr>
                <w:ilvl w:val="0"/>
                <w:numId w:val="7"/>
              </w:numPr>
              <w:spacing w:lineRule="auto" w:line="240" w:before="0" w:after="0"/>
              <w:rPr>
                <w:b w:val="false"/>
                <w:b w:val="false"/>
                <w:sz w:val="22"/>
                <w:szCs w:val="22"/>
              </w:rPr>
            </w:pPr>
            <w:r>
              <w:rPr>
                <w:b w:val="false"/>
                <w:sz w:val="22"/>
                <w:szCs w:val="22"/>
              </w:rPr>
              <w:t>Contribute to proposals for cost effective use of resources and plans for disinvestment and reinvestment.</w:t>
            </w:r>
          </w:p>
          <w:p>
            <w:pPr>
              <w:pStyle w:val="TextBody"/>
              <w:numPr>
                <w:ilvl w:val="0"/>
                <w:numId w:val="7"/>
              </w:numPr>
              <w:spacing w:lineRule="auto" w:line="240" w:before="0" w:after="0"/>
              <w:rPr>
                <w:b w:val="false"/>
                <w:b w:val="false"/>
                <w:sz w:val="22"/>
                <w:szCs w:val="22"/>
              </w:rPr>
            </w:pPr>
            <w:r>
              <w:rPr>
                <w:b w:val="false"/>
                <w:sz w:val="22"/>
                <w:szCs w:val="22"/>
              </w:rPr>
              <w:t>Where appropriate to carry cases/deliver service up to 50% of practitioner workload.</w:t>
            </w:r>
          </w:p>
          <w:p>
            <w:pPr>
              <w:pStyle w:val="TextBody"/>
              <w:spacing w:lineRule="auto" w:line="240" w:before="0" w:after="0"/>
              <w:rPr>
                <w:b w:val="false"/>
                <w:b w:val="false"/>
                <w:sz w:val="22"/>
                <w:szCs w:val="22"/>
              </w:rPr>
            </w:pPr>
            <w:r>
              <w:rPr>
                <w:b w:val="false"/>
                <w:sz w:val="22"/>
                <w:szCs w:val="22"/>
              </w:rPr>
            </w:r>
          </w:p>
          <w:p>
            <w:pPr>
              <w:pStyle w:val="TextBody"/>
              <w:spacing w:lineRule="auto" w:line="240" w:before="0" w:after="0"/>
              <w:rPr>
                <w:bCs w:val="false"/>
                <w:sz w:val="22"/>
                <w:szCs w:val="22"/>
              </w:rPr>
            </w:pPr>
            <w:r>
              <w:rPr>
                <w:bCs w:val="false"/>
                <w:sz w:val="22"/>
                <w:szCs w:val="22"/>
              </w:rPr>
              <w:t>Management of Quality and Performance</w:t>
            </w:r>
          </w:p>
          <w:p>
            <w:pPr>
              <w:pStyle w:val="TextBody"/>
              <w:spacing w:lineRule="auto" w:line="240" w:before="0" w:after="0"/>
              <w:rPr>
                <w:b w:val="false"/>
                <w:b w:val="false"/>
                <w:sz w:val="22"/>
                <w:szCs w:val="22"/>
              </w:rPr>
            </w:pPr>
            <w:r>
              <w:rPr>
                <w:b w:val="false"/>
                <w:sz w:val="22"/>
                <w:szCs w:val="22"/>
              </w:rPr>
              <w:t>To assist the Team Manager in relation to the following: -</w:t>
            </w:r>
          </w:p>
          <w:p>
            <w:pPr>
              <w:pStyle w:val="TextBody"/>
              <w:spacing w:lineRule="auto" w:line="240" w:before="0" w:after="0"/>
              <w:rPr>
                <w:b w:val="false"/>
                <w:b w:val="false"/>
                <w:sz w:val="22"/>
                <w:szCs w:val="22"/>
              </w:rPr>
            </w:pPr>
            <w:r>
              <w:rPr>
                <w:b w:val="false"/>
                <w:sz w:val="22"/>
                <w:szCs w:val="22"/>
              </w:rPr>
            </w:r>
          </w:p>
          <w:p>
            <w:pPr>
              <w:pStyle w:val="TextBody"/>
              <w:numPr>
                <w:ilvl w:val="1"/>
                <w:numId w:val="9"/>
              </w:numPr>
              <w:spacing w:lineRule="auto" w:line="240" w:before="0" w:after="0"/>
              <w:rPr>
                <w:b w:val="false"/>
                <w:b w:val="false"/>
                <w:sz w:val="22"/>
                <w:szCs w:val="22"/>
              </w:rPr>
            </w:pPr>
            <w:r>
              <w:rPr>
                <w:b w:val="false"/>
                <w:sz w:val="22"/>
                <w:szCs w:val="22"/>
              </w:rPr>
              <w:t>Responsibility for ensuring that work is undertaken to meet agreed standards.</w:t>
            </w:r>
          </w:p>
          <w:p>
            <w:pPr>
              <w:pStyle w:val="TextBody"/>
              <w:numPr>
                <w:ilvl w:val="1"/>
                <w:numId w:val="9"/>
              </w:numPr>
              <w:spacing w:lineRule="auto" w:line="240" w:before="0" w:after="0"/>
              <w:rPr>
                <w:b w:val="false"/>
                <w:b w:val="false"/>
                <w:sz w:val="22"/>
                <w:szCs w:val="22"/>
              </w:rPr>
            </w:pPr>
            <w:r>
              <w:rPr>
                <w:b w:val="false"/>
                <w:sz w:val="22"/>
                <w:szCs w:val="22"/>
              </w:rPr>
              <w:t>Establish, sustain and develop a quality audit system within the Team to ensure that the Team delivers services to the required standards and specifications.</w:t>
            </w:r>
          </w:p>
          <w:p>
            <w:pPr>
              <w:pStyle w:val="TextBody"/>
              <w:numPr>
                <w:ilvl w:val="1"/>
                <w:numId w:val="9"/>
              </w:numPr>
              <w:spacing w:lineRule="auto" w:line="240" w:before="0" w:after="0"/>
              <w:rPr>
                <w:b w:val="false"/>
                <w:b w:val="false"/>
                <w:sz w:val="22"/>
                <w:szCs w:val="22"/>
              </w:rPr>
            </w:pPr>
            <w:r>
              <w:rPr>
                <w:b w:val="false"/>
                <w:sz w:val="22"/>
                <w:szCs w:val="22"/>
              </w:rPr>
              <w:t>Contribute to the management of quality in the Service.</w:t>
            </w:r>
          </w:p>
          <w:p>
            <w:pPr>
              <w:pStyle w:val="TextBody"/>
              <w:numPr>
                <w:ilvl w:val="1"/>
                <w:numId w:val="9"/>
              </w:numPr>
              <w:spacing w:lineRule="auto" w:line="240" w:before="0" w:after="0"/>
              <w:rPr>
                <w:b w:val="false"/>
                <w:b w:val="false"/>
                <w:sz w:val="22"/>
                <w:szCs w:val="22"/>
              </w:rPr>
            </w:pPr>
            <w:r>
              <w:rPr>
                <w:b w:val="false"/>
                <w:sz w:val="22"/>
                <w:szCs w:val="22"/>
              </w:rPr>
              <w:t>Manage the performance of the Team, setting individual and team targets.</w:t>
            </w:r>
          </w:p>
          <w:p>
            <w:pPr>
              <w:pStyle w:val="TextBody"/>
              <w:numPr>
                <w:ilvl w:val="1"/>
                <w:numId w:val="9"/>
              </w:numPr>
              <w:spacing w:lineRule="auto" w:line="240" w:before="0" w:after="0"/>
              <w:rPr>
                <w:b w:val="false"/>
                <w:b w:val="false"/>
                <w:sz w:val="22"/>
                <w:szCs w:val="22"/>
              </w:rPr>
            </w:pPr>
            <w:r>
              <w:rPr>
                <w:b w:val="false"/>
                <w:sz w:val="22"/>
                <w:szCs w:val="22"/>
              </w:rPr>
              <w:t>Responsibility for ensuring effective use of project management techniques, where appropriate.</w:t>
            </w:r>
          </w:p>
          <w:p>
            <w:pPr>
              <w:pStyle w:val="TextBody"/>
              <w:spacing w:lineRule="auto" w:line="240" w:before="0" w:after="0"/>
              <w:rPr>
                <w:b w:val="false"/>
                <w:b w:val="false"/>
                <w:sz w:val="22"/>
                <w:szCs w:val="22"/>
              </w:rPr>
            </w:pPr>
            <w:r>
              <w:rPr>
                <w:b w:val="false"/>
                <w:sz w:val="22"/>
                <w:szCs w:val="22"/>
              </w:rPr>
            </w:r>
          </w:p>
          <w:p>
            <w:pPr>
              <w:pStyle w:val="TextBody"/>
              <w:numPr>
                <w:ilvl w:val="0"/>
                <w:numId w:val="8"/>
              </w:numPr>
              <w:spacing w:lineRule="auto" w:line="240" w:before="0" w:after="0"/>
              <w:ind w:left="0" w:right="0" w:hanging="360"/>
              <w:rPr>
                <w:bCs w:val="false"/>
                <w:sz w:val="22"/>
                <w:szCs w:val="22"/>
              </w:rPr>
            </w:pPr>
            <w:r>
              <w:rPr>
                <w:bCs w:val="false"/>
                <w:sz w:val="22"/>
                <w:szCs w:val="22"/>
              </w:rPr>
              <w:t>Service Decisions</w:t>
            </w:r>
          </w:p>
          <w:p>
            <w:pPr>
              <w:pStyle w:val="TextBody"/>
              <w:spacing w:lineRule="auto" w:line="240" w:before="0" w:after="0"/>
              <w:rPr>
                <w:b w:val="false"/>
                <w:b w:val="false"/>
                <w:sz w:val="22"/>
                <w:szCs w:val="22"/>
              </w:rPr>
            </w:pPr>
            <w:r>
              <w:rPr>
                <w:b w:val="false"/>
                <w:sz w:val="22"/>
                <w:szCs w:val="22"/>
              </w:rPr>
            </w:r>
          </w:p>
          <w:p>
            <w:pPr>
              <w:pStyle w:val="TextBody"/>
              <w:numPr>
                <w:ilvl w:val="0"/>
                <w:numId w:val="10"/>
              </w:numPr>
              <w:spacing w:lineRule="auto" w:line="240" w:before="0" w:after="0"/>
              <w:rPr>
                <w:b w:val="false"/>
                <w:b w:val="false"/>
                <w:sz w:val="22"/>
                <w:szCs w:val="22"/>
              </w:rPr>
            </w:pPr>
            <w:r>
              <w:rPr>
                <w:b w:val="false"/>
                <w:sz w:val="22"/>
                <w:szCs w:val="22"/>
              </w:rPr>
              <w:t>Responsible for decision making according to the Department's scheme of delegation</w:t>
            </w:r>
          </w:p>
          <w:p>
            <w:pPr>
              <w:pStyle w:val="TextBody"/>
              <w:spacing w:lineRule="auto" w:line="240" w:before="0" w:after="0"/>
              <w:rPr>
                <w:b w:val="false"/>
                <w:b w:val="false"/>
                <w:sz w:val="22"/>
                <w:szCs w:val="22"/>
              </w:rPr>
            </w:pPr>
            <w:r>
              <w:rPr>
                <w:b w:val="false"/>
                <w:sz w:val="22"/>
                <w:szCs w:val="22"/>
              </w:rPr>
            </w:r>
          </w:p>
          <w:p>
            <w:pPr>
              <w:pStyle w:val="TextBody"/>
              <w:spacing w:lineRule="auto" w:line="240" w:before="0" w:after="0"/>
              <w:rPr>
                <w:bCs w:val="false"/>
                <w:sz w:val="22"/>
                <w:szCs w:val="22"/>
              </w:rPr>
            </w:pPr>
            <w:r>
              <w:rPr>
                <w:bCs w:val="false"/>
                <w:sz w:val="22"/>
                <w:szCs w:val="22"/>
              </w:rPr>
              <w:t>Business Planning</w:t>
            </w:r>
          </w:p>
          <w:p>
            <w:pPr>
              <w:pStyle w:val="TextBody"/>
              <w:spacing w:lineRule="auto" w:line="240" w:before="0" w:after="0"/>
              <w:rPr>
                <w:b w:val="false"/>
                <w:b w:val="false"/>
                <w:sz w:val="22"/>
                <w:szCs w:val="22"/>
              </w:rPr>
            </w:pPr>
            <w:r>
              <w:rPr>
                <w:b w:val="false"/>
                <w:sz w:val="22"/>
                <w:szCs w:val="22"/>
              </w:rPr>
              <w:t>To assist the Team Manager in relation to the following: -</w:t>
            </w:r>
          </w:p>
          <w:p>
            <w:pPr>
              <w:pStyle w:val="TextBody"/>
              <w:spacing w:lineRule="auto" w:line="240" w:before="0" w:after="0"/>
              <w:rPr>
                <w:b w:val="false"/>
                <w:b w:val="false"/>
                <w:sz w:val="22"/>
                <w:szCs w:val="22"/>
              </w:rPr>
            </w:pPr>
            <w:r>
              <w:rPr>
                <w:b w:val="false"/>
                <w:sz w:val="22"/>
                <w:szCs w:val="22"/>
              </w:rPr>
            </w:r>
          </w:p>
          <w:p>
            <w:pPr>
              <w:pStyle w:val="TextBody"/>
              <w:numPr>
                <w:ilvl w:val="0"/>
                <w:numId w:val="11"/>
              </w:numPr>
              <w:spacing w:lineRule="auto" w:line="240" w:before="0" w:after="0"/>
              <w:rPr>
                <w:b w:val="false"/>
                <w:b w:val="false"/>
                <w:sz w:val="22"/>
                <w:szCs w:val="22"/>
              </w:rPr>
            </w:pPr>
            <w:r>
              <w:rPr>
                <w:b w:val="false"/>
                <w:sz w:val="22"/>
                <w:szCs w:val="22"/>
              </w:rPr>
              <w:t>Provision of reports using required formats for presentation and analysis of data.</w:t>
            </w:r>
          </w:p>
          <w:p>
            <w:pPr>
              <w:pStyle w:val="TextBody"/>
              <w:numPr>
                <w:ilvl w:val="0"/>
                <w:numId w:val="11"/>
              </w:numPr>
              <w:spacing w:lineRule="auto" w:line="240" w:before="0" w:after="0"/>
              <w:rPr>
                <w:b w:val="false"/>
                <w:b w:val="false"/>
                <w:sz w:val="22"/>
                <w:szCs w:val="22"/>
              </w:rPr>
            </w:pPr>
            <w:r>
              <w:rPr>
                <w:b w:val="false"/>
                <w:sz w:val="22"/>
                <w:szCs w:val="22"/>
              </w:rPr>
              <w:t>Contribute to the planning process of the Service and to develop, produce and monitor the Team Plan.</w:t>
            </w:r>
          </w:p>
          <w:p>
            <w:pPr>
              <w:pStyle w:val="TextBody"/>
              <w:numPr>
                <w:ilvl w:val="0"/>
                <w:numId w:val="11"/>
              </w:numPr>
              <w:spacing w:lineRule="auto" w:line="240" w:before="0" w:after="0"/>
              <w:rPr>
                <w:b w:val="false"/>
                <w:b w:val="false"/>
                <w:sz w:val="22"/>
                <w:szCs w:val="22"/>
              </w:rPr>
            </w:pPr>
            <w:r>
              <w:rPr>
                <w:b w:val="false"/>
                <w:sz w:val="22"/>
                <w:szCs w:val="22"/>
              </w:rPr>
              <w:t>Develop appropriate systems in conjunction with the Performance Team for the collection of performance data and data analysis.</w:t>
            </w:r>
          </w:p>
          <w:p>
            <w:pPr>
              <w:pStyle w:val="TextBody"/>
              <w:spacing w:lineRule="auto" w:line="240" w:before="0" w:after="0"/>
              <w:rPr>
                <w:b w:val="false"/>
                <w:b w:val="false"/>
                <w:sz w:val="22"/>
                <w:szCs w:val="22"/>
              </w:rPr>
            </w:pPr>
            <w:r>
              <w:rPr>
                <w:b w:val="false"/>
                <w:sz w:val="22"/>
                <w:szCs w:val="22"/>
              </w:rPr>
            </w:r>
          </w:p>
          <w:p>
            <w:pPr>
              <w:pStyle w:val="TextBody"/>
              <w:spacing w:lineRule="auto" w:line="240" w:before="0" w:after="0"/>
              <w:rPr>
                <w:bCs w:val="false"/>
                <w:sz w:val="22"/>
                <w:szCs w:val="22"/>
              </w:rPr>
            </w:pPr>
            <w:r>
              <w:rPr>
                <w:bCs w:val="false"/>
                <w:sz w:val="22"/>
                <w:szCs w:val="22"/>
              </w:rPr>
              <w:t>Continuous Improvement</w:t>
            </w:r>
          </w:p>
          <w:p>
            <w:pPr>
              <w:pStyle w:val="TextBody"/>
              <w:numPr>
                <w:ilvl w:val="0"/>
                <w:numId w:val="12"/>
              </w:numPr>
              <w:spacing w:lineRule="auto" w:line="240" w:before="0" w:after="0"/>
              <w:rPr>
                <w:b w:val="false"/>
                <w:b w:val="false"/>
                <w:sz w:val="22"/>
                <w:szCs w:val="22"/>
              </w:rPr>
            </w:pPr>
            <w:r>
              <w:rPr>
                <w:b w:val="false"/>
                <w:sz w:val="22"/>
                <w:szCs w:val="22"/>
              </w:rPr>
              <w:t>Contribute to the devising, implementing and evaluation of changes with the involvement of front-line staff, to continually improve services, systems and standards, in conjunction with the Team Manager and the Service Unit Manager.</w:t>
            </w:r>
          </w:p>
          <w:p>
            <w:pPr>
              <w:pStyle w:val="TextBody"/>
              <w:spacing w:lineRule="auto" w:line="240" w:before="0" w:after="0"/>
              <w:rPr>
                <w:b w:val="false"/>
                <w:b w:val="false"/>
                <w:sz w:val="22"/>
                <w:szCs w:val="22"/>
              </w:rPr>
            </w:pPr>
            <w:r>
              <w:rPr>
                <w:b w:val="false"/>
                <w:sz w:val="22"/>
                <w:szCs w:val="22"/>
              </w:rPr>
            </w:r>
          </w:p>
          <w:p>
            <w:pPr>
              <w:pStyle w:val="TextBody"/>
              <w:spacing w:lineRule="auto" w:line="240" w:before="0" w:after="0"/>
              <w:rPr>
                <w:bCs w:val="false"/>
                <w:sz w:val="22"/>
                <w:szCs w:val="22"/>
              </w:rPr>
            </w:pPr>
            <w:r>
              <w:rPr>
                <w:bCs w:val="false"/>
                <w:sz w:val="22"/>
                <w:szCs w:val="22"/>
              </w:rPr>
              <w:t>Management of Information</w:t>
            </w:r>
          </w:p>
          <w:p>
            <w:pPr>
              <w:pStyle w:val="TextBody"/>
              <w:spacing w:lineRule="auto" w:line="240" w:before="0" w:after="0"/>
              <w:rPr>
                <w:b w:val="false"/>
                <w:b w:val="false"/>
                <w:sz w:val="22"/>
                <w:szCs w:val="22"/>
              </w:rPr>
            </w:pPr>
            <w:r>
              <w:rPr>
                <w:b w:val="false"/>
                <w:sz w:val="22"/>
                <w:szCs w:val="22"/>
              </w:rPr>
              <w:t>To assist the Team Manager in relation to the following: -</w:t>
            </w:r>
          </w:p>
          <w:p>
            <w:pPr>
              <w:pStyle w:val="TextBody"/>
              <w:spacing w:lineRule="auto" w:line="240" w:before="0" w:after="0"/>
              <w:rPr>
                <w:b w:val="false"/>
                <w:b w:val="false"/>
                <w:sz w:val="22"/>
                <w:szCs w:val="22"/>
              </w:rPr>
            </w:pPr>
            <w:r>
              <w:rPr>
                <w:b w:val="false"/>
                <w:sz w:val="22"/>
                <w:szCs w:val="22"/>
              </w:rPr>
            </w:r>
          </w:p>
          <w:p>
            <w:pPr>
              <w:pStyle w:val="TextBody"/>
              <w:numPr>
                <w:ilvl w:val="1"/>
                <w:numId w:val="13"/>
              </w:numPr>
              <w:spacing w:lineRule="auto" w:line="240" w:before="0" w:after="0"/>
              <w:rPr>
                <w:b w:val="false"/>
                <w:b w:val="false"/>
                <w:sz w:val="22"/>
                <w:szCs w:val="22"/>
              </w:rPr>
            </w:pPr>
            <w:r>
              <w:rPr>
                <w:b w:val="false"/>
                <w:sz w:val="22"/>
                <w:szCs w:val="22"/>
              </w:rPr>
              <w:t>Development of mixed media information for use of general public, partner agencies, other organisations, service users, families and carers and potential users of services.</w:t>
            </w:r>
          </w:p>
          <w:p>
            <w:pPr>
              <w:pStyle w:val="TextBody"/>
              <w:numPr>
                <w:ilvl w:val="1"/>
                <w:numId w:val="13"/>
              </w:numPr>
              <w:spacing w:lineRule="auto" w:line="240" w:before="0" w:after="0"/>
              <w:rPr>
                <w:b w:val="false"/>
                <w:b w:val="false"/>
                <w:sz w:val="22"/>
                <w:szCs w:val="22"/>
              </w:rPr>
            </w:pPr>
            <w:r>
              <w:rPr>
                <w:b w:val="false"/>
                <w:sz w:val="22"/>
                <w:szCs w:val="22"/>
              </w:rPr>
              <w:t>Ensure effective communication and information flows within the Team and between the Team and other Departments, relevant Agencies and organisations.</w:t>
            </w:r>
          </w:p>
          <w:p>
            <w:pPr>
              <w:pStyle w:val="TextBody"/>
              <w:numPr>
                <w:ilvl w:val="1"/>
                <w:numId w:val="13"/>
              </w:numPr>
              <w:spacing w:lineRule="auto" w:line="240" w:before="0" w:after="0"/>
              <w:rPr>
                <w:b w:val="false"/>
                <w:b w:val="false"/>
                <w:sz w:val="22"/>
                <w:szCs w:val="22"/>
              </w:rPr>
            </w:pPr>
            <w:r>
              <w:rPr>
                <w:b w:val="false"/>
                <w:sz w:val="22"/>
                <w:szCs w:val="22"/>
              </w:rPr>
              <w:t>Ensure effective communication and information dissemination with/to current and potential Service Users.</w:t>
            </w:r>
          </w:p>
          <w:p>
            <w:pPr>
              <w:pStyle w:val="TextBody"/>
              <w:numPr>
                <w:ilvl w:val="1"/>
                <w:numId w:val="13"/>
              </w:numPr>
              <w:spacing w:lineRule="auto" w:line="240" w:before="0" w:after="0"/>
              <w:rPr>
                <w:b w:val="false"/>
                <w:b w:val="false"/>
                <w:sz w:val="22"/>
                <w:szCs w:val="22"/>
              </w:rPr>
            </w:pPr>
            <w:r>
              <w:rPr>
                <w:b w:val="false"/>
                <w:sz w:val="22"/>
                <w:szCs w:val="22"/>
              </w:rPr>
              <w:t>Develop the involvement of service users in individual and service planning.</w:t>
            </w:r>
          </w:p>
          <w:p>
            <w:pPr>
              <w:pStyle w:val="TextBody"/>
              <w:numPr>
                <w:ilvl w:val="1"/>
                <w:numId w:val="13"/>
              </w:numPr>
              <w:spacing w:lineRule="auto" w:line="240" w:before="0" w:after="0"/>
              <w:rPr>
                <w:b w:val="false"/>
                <w:b w:val="false"/>
                <w:sz w:val="22"/>
                <w:szCs w:val="22"/>
              </w:rPr>
            </w:pPr>
            <w:r>
              <w:rPr>
                <w:b w:val="false"/>
                <w:sz w:val="22"/>
                <w:szCs w:val="22"/>
              </w:rPr>
              <w:t xml:space="preserve">Ensure that the Team implements the Departmental Information and Communications </w:t>
            </w:r>
          </w:p>
          <w:p>
            <w:pPr>
              <w:pStyle w:val="TextBody"/>
              <w:spacing w:lineRule="auto" w:line="240" w:before="0" w:after="0"/>
              <w:rPr>
                <w:b w:val="false"/>
                <w:b w:val="false"/>
                <w:sz w:val="22"/>
                <w:szCs w:val="22"/>
              </w:rPr>
            </w:pPr>
            <w:r>
              <w:rPr>
                <w:b w:val="false"/>
                <w:sz w:val="22"/>
                <w:szCs w:val="22"/>
              </w:rPr>
            </w:r>
          </w:p>
          <w:p>
            <w:pPr>
              <w:pStyle w:val="TextBody"/>
              <w:spacing w:lineRule="auto" w:line="240" w:before="0" w:after="0"/>
              <w:rPr>
                <w:bCs w:val="false"/>
                <w:sz w:val="22"/>
                <w:szCs w:val="22"/>
              </w:rPr>
            </w:pPr>
            <w:r>
              <w:rPr>
                <w:bCs w:val="false"/>
                <w:sz w:val="22"/>
                <w:szCs w:val="22"/>
              </w:rPr>
              <w:t>Policy</w:t>
            </w:r>
          </w:p>
          <w:p>
            <w:pPr>
              <w:pStyle w:val="TextBody"/>
              <w:numPr>
                <w:ilvl w:val="1"/>
                <w:numId w:val="14"/>
              </w:numPr>
              <w:spacing w:lineRule="auto" w:line="240" w:before="0" w:after="0"/>
              <w:rPr>
                <w:b w:val="false"/>
                <w:b w:val="false"/>
                <w:sz w:val="22"/>
                <w:szCs w:val="22"/>
              </w:rPr>
            </w:pPr>
            <w:r>
              <w:rPr>
                <w:b w:val="false"/>
                <w:sz w:val="22"/>
                <w:szCs w:val="22"/>
              </w:rPr>
              <w:t>Contribute to the response to queries and requests for information from Elected Members and Members of Parliament (in respect of the Team) in accordance with Departmental guidelines and standards.</w:t>
            </w:r>
          </w:p>
          <w:p>
            <w:pPr>
              <w:pStyle w:val="TextBody"/>
              <w:numPr>
                <w:ilvl w:val="1"/>
                <w:numId w:val="14"/>
              </w:numPr>
              <w:spacing w:lineRule="auto" w:line="240" w:before="0" w:after="0"/>
              <w:rPr>
                <w:b w:val="false"/>
                <w:b w:val="false"/>
                <w:sz w:val="22"/>
                <w:szCs w:val="22"/>
              </w:rPr>
            </w:pPr>
            <w:r>
              <w:rPr>
                <w:b w:val="false"/>
                <w:sz w:val="22"/>
                <w:szCs w:val="22"/>
              </w:rPr>
              <w:t>Contribute to the response to complaints, Subject Access Requests, Freedom of Information Requests.</w:t>
            </w:r>
          </w:p>
          <w:p>
            <w:pPr>
              <w:pStyle w:val="TextBody"/>
              <w:numPr>
                <w:ilvl w:val="1"/>
                <w:numId w:val="14"/>
              </w:numPr>
              <w:spacing w:lineRule="auto" w:line="240" w:before="0" w:after="0"/>
              <w:rPr>
                <w:b w:val="false"/>
                <w:b w:val="false"/>
                <w:sz w:val="22"/>
                <w:szCs w:val="22"/>
              </w:rPr>
            </w:pPr>
            <w:r>
              <w:rPr>
                <w:b w:val="false"/>
                <w:sz w:val="22"/>
                <w:szCs w:val="22"/>
              </w:rPr>
              <w:t>Effective use of information to ensure achievement of stated objectives and targets and as a means of securing service improvement.</w:t>
            </w:r>
          </w:p>
          <w:p>
            <w:pPr>
              <w:pStyle w:val="TextBody"/>
              <w:spacing w:lineRule="auto" w:line="240" w:before="0" w:after="0"/>
              <w:rPr>
                <w:b w:val="false"/>
                <w:b w:val="false"/>
                <w:sz w:val="22"/>
                <w:szCs w:val="22"/>
              </w:rPr>
            </w:pPr>
            <w:r>
              <w:rPr>
                <w:b w:val="false"/>
                <w:sz w:val="22"/>
                <w:szCs w:val="22"/>
              </w:rPr>
            </w:r>
          </w:p>
          <w:p>
            <w:pPr>
              <w:pStyle w:val="NoSpacing"/>
              <w:spacing w:lineRule="auto" w:line="240" w:before="0" w:after="0"/>
              <w:jc w:val="both"/>
              <w:rPr/>
            </w:pPr>
            <w:r>
              <w:rPr>
                <w:rFonts w:cs="Arial" w:ascii="Arial" w:hAnsi="Arial"/>
              </w:rPr>
              <w:t>The duties may vary from time to time without changing the nature of the post or the level of responsibility, and the post holder may also be required to carry out any other duties appropriate to the grading of the post.</w:t>
            </w:r>
            <w:r>
              <w:rPr>
                <w:rFonts w:cs="Arial" w:ascii="Arial" w:hAnsi="Arial"/>
                <w:sz w:val="20"/>
                <w:szCs w:val="20"/>
              </w:rPr>
              <w:t xml:space="preserve"> </w:t>
            </w:r>
          </w:p>
        </w:tc>
      </w:tr>
    </w:tbl>
    <w:p>
      <w:pPr>
        <w:pStyle w:val="Normal"/>
        <w:spacing w:lineRule="auto" w:line="276"/>
        <w:jc w:val="both"/>
        <w:rPr>
          <w:rFonts w:ascii="Arial" w:hAnsi="Arial" w:eastAsia="Calibri" w:cs="Arial"/>
          <w:b/>
          <w:b/>
        </w:rPr>
      </w:pPr>
      <w:r>
        <w:rPr>
          <w:rFonts w:eastAsia="Calibri" w:cs="Arial" w:ascii="Arial" w:hAnsi="Arial"/>
          <w:b/>
        </w:rPr>
      </w:r>
    </w:p>
    <w:p>
      <w:pPr>
        <w:pStyle w:val="Normal"/>
        <w:spacing w:lineRule="auto" w:line="276"/>
        <w:jc w:val="both"/>
        <w:rPr>
          <w:rFonts w:ascii="Arial" w:hAnsi="Arial" w:eastAsia="Calibri" w:cs="Arial"/>
          <w:b/>
          <w:b/>
        </w:rPr>
      </w:pPr>
      <w:r>
        <w:rPr>
          <w:rFonts w:eastAsia="Calibri" w:cs="Arial" w:ascii="Arial" w:hAnsi="Arial"/>
          <w:b/>
        </w:rPr>
      </w:r>
    </w:p>
    <w:tbl>
      <w:tblPr>
        <w:tblW w:w="9520" w:type="dxa"/>
        <w:jc w:val="left"/>
        <w:tblInd w:w="0" w:type="dxa"/>
        <w:tblCellMar>
          <w:top w:w="0" w:type="dxa"/>
          <w:left w:w="108" w:type="dxa"/>
          <w:bottom w:w="0" w:type="dxa"/>
          <w:right w:w="108" w:type="dxa"/>
        </w:tblCellMar>
      </w:tblPr>
      <w:tblGrid>
        <w:gridCol w:w="9520"/>
      </w:tblGrid>
      <w:tr>
        <w:trPr>
          <w:trHeight w:val="265" w:hRule="atLeast"/>
        </w:trPr>
        <w:tc>
          <w:tcPr>
            <w:tcW w:w="9520" w:type="dxa"/>
            <w:tcBorders>
              <w:top w:val="single" w:sz="18" w:space="0" w:color="70AD47"/>
              <w:left w:val="single" w:sz="18" w:space="0" w:color="70AD47"/>
              <w:bottom w:val="single" w:sz="18" w:space="0" w:color="70AD47"/>
              <w:right w:val="single" w:sz="18" w:space="0" w:color="70AD47"/>
            </w:tcBorders>
            <w:shd w:fill="C5E0B3" w:val="clear"/>
          </w:tcPr>
          <w:p>
            <w:pPr>
              <w:pStyle w:val="Normal"/>
              <w:spacing w:lineRule="auto" w:line="240" w:before="0" w:after="0"/>
              <w:rPr>
                <w:rFonts w:ascii="Arial" w:hAnsi="Arial" w:eastAsia="Calibri" w:cs="Arial"/>
                <w:b/>
                <w:b/>
              </w:rPr>
            </w:pPr>
            <w:r>
              <w:rPr>
                <w:rFonts w:eastAsia="Calibri" w:cs="Arial" w:ascii="Arial" w:hAnsi="Arial"/>
                <w:b/>
              </w:rPr>
              <w:t>About You</w:t>
            </w:r>
          </w:p>
        </w:tc>
      </w:tr>
      <w:tr>
        <w:trPr>
          <w:trHeight w:val="523" w:hRule="atLeast"/>
        </w:trPr>
        <w:tc>
          <w:tcPr>
            <w:tcW w:w="9520" w:type="dxa"/>
            <w:tcBorders>
              <w:top w:val="single" w:sz="18" w:space="0" w:color="70AD47"/>
              <w:left w:val="single" w:sz="18" w:space="0" w:color="70AD47"/>
              <w:bottom w:val="single" w:sz="18" w:space="0" w:color="70AD47"/>
              <w:right w:val="single" w:sz="18" w:space="0" w:color="70AD47"/>
            </w:tcBorders>
            <w:shd w:fill="auto" w:val="clear"/>
          </w:tcPr>
          <w:p>
            <w:pPr>
              <w:pStyle w:val="Normal"/>
              <w:spacing w:lineRule="auto" w:line="240" w:before="0" w:after="0"/>
              <w:rPr>
                <w:rFonts w:ascii="Arial" w:hAnsi="Arial" w:eastAsia="Calibri" w:cs="Arial"/>
                <w:b/>
                <w:b/>
              </w:rPr>
            </w:pPr>
            <w:r>
              <w:rPr>
                <w:rFonts w:eastAsia="Calibri" w:cs="Arial" w:ascii="Arial" w:hAnsi="Arial"/>
                <w:b/>
              </w:rPr>
              <w:t>Your essential qualifications</w:t>
            </w:r>
          </w:p>
          <w:p>
            <w:pPr>
              <w:pStyle w:val="Normal"/>
              <w:spacing w:lineRule="auto" w:line="240" w:before="0" w:after="0"/>
              <w:rPr>
                <w:rFonts w:ascii="Arial" w:hAnsi="Arial" w:eastAsia="Calibri" w:cs="Arial"/>
                <w:b/>
                <w:b/>
              </w:rPr>
            </w:pPr>
            <w:r>
              <w:rPr>
                <w:rFonts w:eastAsia="Calibri" w:cs="Arial" w:ascii="Arial" w:hAnsi="Arial"/>
                <w:b/>
              </w:rPr>
            </w:r>
          </w:p>
          <w:p>
            <w:pPr>
              <w:pStyle w:val="NoSpacing"/>
              <w:numPr>
                <w:ilvl w:val="0"/>
                <w:numId w:val="3"/>
              </w:numPr>
              <w:spacing w:lineRule="auto" w:line="240" w:before="0" w:after="0"/>
              <w:rPr>
                <w:rFonts w:ascii="Arial" w:hAnsi="Arial" w:cs="Arial"/>
                <w:sz w:val="20"/>
                <w:szCs w:val="20"/>
              </w:rPr>
            </w:pPr>
            <w:r>
              <w:rPr>
                <w:rFonts w:cs="Arial" w:ascii="Arial" w:hAnsi="Arial"/>
                <w:sz w:val="20"/>
                <w:szCs w:val="20"/>
              </w:rPr>
              <w:t>Level 6 Social Work Degree</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 xml:space="preserve">Full driving licence and access to own vehicle. </w:t>
            </w:r>
          </w:p>
          <w:p>
            <w:pPr>
              <w:pStyle w:val="NoSpacing"/>
              <w:spacing w:lineRule="auto" w:line="240" w:before="0" w:after="0"/>
              <w:rPr>
                <w:rFonts w:ascii="Arial" w:hAnsi="Arial" w:cs="Arial"/>
                <w:b/>
                <w:b/>
                <w:sz w:val="20"/>
                <w:szCs w:val="20"/>
              </w:rPr>
            </w:pPr>
            <w:r>
              <w:rPr>
                <w:rFonts w:cs="Arial" w:ascii="Arial" w:hAnsi="Arial"/>
                <w:b/>
                <w:sz w:val="20"/>
                <w:szCs w:val="20"/>
              </w:rPr>
            </w:r>
          </w:p>
          <w:p>
            <w:pPr>
              <w:pStyle w:val="NoSpacing"/>
              <w:spacing w:lineRule="auto" w:line="240" w:before="0" w:after="0"/>
              <w:rPr>
                <w:rFonts w:ascii="Arial" w:hAnsi="Arial" w:cs="Arial"/>
                <w:b/>
                <w:b/>
                <w:sz w:val="20"/>
                <w:szCs w:val="20"/>
              </w:rPr>
            </w:pPr>
            <w:r>
              <w:rPr>
                <w:rFonts w:cs="Arial" w:ascii="Arial" w:hAnsi="Arial"/>
                <w:b/>
                <w:sz w:val="20"/>
                <w:szCs w:val="20"/>
              </w:rPr>
              <w:t>Your essential skills, knowledge and experience</w:t>
            </w:r>
          </w:p>
          <w:p>
            <w:pPr>
              <w:pStyle w:val="NoSpacing"/>
              <w:spacing w:lineRule="auto" w:line="240" w:before="0" w:after="0"/>
              <w:rPr>
                <w:rFonts w:ascii="Arial" w:hAnsi="Arial" w:cs="Arial"/>
                <w:b/>
                <w:b/>
                <w:sz w:val="20"/>
                <w:szCs w:val="20"/>
              </w:rPr>
            </w:pPr>
            <w:r>
              <w:rPr>
                <w:rFonts w:cs="Arial" w:ascii="Arial" w:hAnsi="Arial"/>
                <w:b/>
                <w:sz w:val="20"/>
                <w:szCs w:val="20"/>
              </w:rPr>
            </w:r>
          </w:p>
          <w:p>
            <w:pPr>
              <w:pStyle w:val="NoSpacing"/>
              <w:spacing w:lineRule="auto" w:line="240" w:before="0" w:after="0"/>
              <w:rPr>
                <w:rFonts w:ascii="Arial" w:hAnsi="Arial" w:cs="Arial"/>
                <w:b/>
                <w:b/>
                <w:sz w:val="20"/>
                <w:szCs w:val="20"/>
                <w:u w:val="single"/>
              </w:rPr>
            </w:pPr>
            <w:r>
              <w:rPr>
                <w:rFonts w:cs="Arial" w:ascii="Arial" w:hAnsi="Arial"/>
                <w:b/>
                <w:sz w:val="20"/>
                <w:szCs w:val="20"/>
                <w:u w:val="single"/>
              </w:rPr>
              <w:t>Specialised Training</w:t>
            </w:r>
          </w:p>
          <w:p>
            <w:pPr>
              <w:pStyle w:val="NoSpacing"/>
              <w:spacing w:lineRule="auto" w:line="240" w:before="0" w:after="0"/>
              <w:rPr>
                <w:rFonts w:ascii="Arial" w:hAnsi="Arial" w:cs="Arial"/>
                <w:b/>
                <w:b/>
                <w:sz w:val="20"/>
                <w:szCs w:val="20"/>
              </w:rPr>
            </w:pPr>
            <w:r>
              <w:rPr>
                <w:rFonts w:cs="Arial" w:ascii="Arial" w:hAnsi="Arial"/>
                <w:b/>
                <w:sz w:val="20"/>
                <w:szCs w:val="20"/>
              </w:rPr>
            </w:r>
          </w:p>
          <w:p>
            <w:pPr>
              <w:pStyle w:val="NoSpacing"/>
              <w:numPr>
                <w:ilvl w:val="0"/>
                <w:numId w:val="15"/>
              </w:numPr>
              <w:spacing w:lineRule="auto" w:line="240" w:before="0" w:after="0"/>
              <w:rPr>
                <w:rFonts w:ascii="Arial" w:hAnsi="Arial" w:cs="Arial"/>
                <w:sz w:val="20"/>
                <w:szCs w:val="20"/>
              </w:rPr>
            </w:pPr>
            <w:r>
              <w:rPr>
                <w:rFonts w:cs="Arial" w:ascii="Arial" w:hAnsi="Arial"/>
                <w:sz w:val="20"/>
                <w:szCs w:val="20"/>
              </w:rPr>
              <w:t>Legislation and requirements relevant to service area</w:t>
            </w:r>
          </w:p>
          <w:p>
            <w:pPr>
              <w:pStyle w:val="NoSpacing"/>
              <w:numPr>
                <w:ilvl w:val="0"/>
                <w:numId w:val="15"/>
              </w:numPr>
              <w:spacing w:lineRule="auto" w:line="240" w:before="0" w:after="0"/>
              <w:rPr>
                <w:rFonts w:ascii="Arial" w:hAnsi="Arial" w:cs="Arial"/>
                <w:sz w:val="20"/>
                <w:szCs w:val="20"/>
              </w:rPr>
            </w:pPr>
            <w:r>
              <w:rPr>
                <w:rFonts w:cs="Arial" w:ascii="Arial" w:hAnsi="Arial"/>
                <w:sz w:val="20"/>
                <w:szCs w:val="20"/>
              </w:rPr>
              <w:t>Management and Human Resource procedures</w:t>
            </w:r>
          </w:p>
          <w:p>
            <w:pPr>
              <w:pStyle w:val="NoSpacing"/>
              <w:numPr>
                <w:ilvl w:val="0"/>
                <w:numId w:val="15"/>
              </w:numPr>
              <w:spacing w:lineRule="auto" w:line="240" w:before="0" w:after="0"/>
              <w:rPr>
                <w:rFonts w:ascii="Arial" w:hAnsi="Arial" w:cs="Arial"/>
                <w:sz w:val="20"/>
                <w:szCs w:val="20"/>
              </w:rPr>
            </w:pPr>
            <w:r>
              <w:rPr>
                <w:rFonts w:cs="Arial" w:ascii="Arial" w:hAnsi="Arial"/>
                <w:sz w:val="20"/>
                <w:szCs w:val="20"/>
              </w:rPr>
              <w:t>Managing Safety</w:t>
              <w:tab/>
              <w:tab/>
              <w:tab/>
            </w:r>
          </w:p>
          <w:p>
            <w:pPr>
              <w:pStyle w:val="NoSpacing"/>
              <w:numPr>
                <w:ilvl w:val="0"/>
                <w:numId w:val="15"/>
              </w:numPr>
              <w:spacing w:lineRule="auto" w:line="240" w:before="0" w:after="0"/>
              <w:rPr>
                <w:rFonts w:ascii="Arial" w:hAnsi="Arial" w:cs="Arial"/>
                <w:sz w:val="20"/>
                <w:szCs w:val="20"/>
              </w:rPr>
            </w:pPr>
            <w:r>
              <w:rPr>
                <w:rFonts w:cs="Arial" w:ascii="Arial" w:hAnsi="Arial"/>
                <w:sz w:val="20"/>
                <w:szCs w:val="20"/>
              </w:rPr>
              <w:t>Risk assessment (Health and Safety)</w:t>
            </w:r>
          </w:p>
          <w:p>
            <w:pPr>
              <w:pStyle w:val="NoSpacing"/>
              <w:numPr>
                <w:ilvl w:val="0"/>
                <w:numId w:val="15"/>
              </w:numPr>
              <w:spacing w:lineRule="auto" w:line="240" w:before="0" w:after="0"/>
              <w:rPr>
                <w:rFonts w:ascii="Arial" w:hAnsi="Arial" w:cs="Arial"/>
                <w:sz w:val="20"/>
                <w:szCs w:val="20"/>
              </w:rPr>
            </w:pPr>
            <w:r>
              <w:rPr>
                <w:rFonts w:cs="Arial" w:ascii="Arial" w:hAnsi="Arial"/>
                <w:sz w:val="20"/>
                <w:szCs w:val="20"/>
              </w:rPr>
              <w:t>Anti-Discriminatory Practice</w:t>
            </w:r>
          </w:p>
          <w:p>
            <w:pPr>
              <w:pStyle w:val="NoSpacing"/>
              <w:numPr>
                <w:ilvl w:val="0"/>
                <w:numId w:val="15"/>
              </w:numPr>
              <w:spacing w:lineRule="auto" w:line="240" w:before="0" w:after="0"/>
              <w:rPr>
                <w:rFonts w:ascii="Arial" w:hAnsi="Arial" w:cs="Arial"/>
                <w:sz w:val="20"/>
                <w:szCs w:val="20"/>
              </w:rPr>
            </w:pPr>
            <w:r>
              <w:rPr>
                <w:rFonts w:cs="Arial" w:ascii="Arial" w:hAnsi="Arial"/>
                <w:sz w:val="20"/>
                <w:szCs w:val="20"/>
              </w:rPr>
              <w:t>Continuous Improvement</w:t>
            </w:r>
          </w:p>
          <w:p>
            <w:pPr>
              <w:pStyle w:val="NoSpacing"/>
              <w:numPr>
                <w:ilvl w:val="0"/>
                <w:numId w:val="15"/>
              </w:numPr>
              <w:spacing w:lineRule="auto" w:line="240" w:before="0" w:after="0"/>
              <w:rPr>
                <w:rFonts w:ascii="Arial" w:hAnsi="Arial" w:cs="Arial"/>
                <w:sz w:val="20"/>
                <w:szCs w:val="20"/>
              </w:rPr>
            </w:pPr>
            <w:r>
              <w:rPr>
                <w:rFonts w:cs="Arial" w:ascii="Arial" w:hAnsi="Arial"/>
                <w:sz w:val="20"/>
                <w:szCs w:val="20"/>
              </w:rPr>
              <w:t>ICT</w:t>
            </w:r>
          </w:p>
          <w:p>
            <w:pPr>
              <w:pStyle w:val="NoSpacing"/>
              <w:spacing w:lineRule="auto" w:line="240" w:before="0" w:after="0"/>
              <w:rPr>
                <w:rFonts w:ascii="Arial" w:hAnsi="Arial" w:cs="Arial"/>
                <w:b/>
                <w:b/>
                <w:sz w:val="20"/>
                <w:szCs w:val="20"/>
              </w:rPr>
            </w:pPr>
            <w:r>
              <w:rPr>
                <w:rFonts w:cs="Arial" w:ascii="Arial" w:hAnsi="Arial"/>
                <w:b/>
                <w:sz w:val="20"/>
                <w:szCs w:val="20"/>
              </w:rPr>
            </w:r>
          </w:p>
          <w:p>
            <w:pPr>
              <w:pStyle w:val="NoSpacing"/>
              <w:spacing w:lineRule="auto" w:line="240" w:before="0" w:after="0"/>
              <w:rPr>
                <w:rFonts w:ascii="Arial" w:hAnsi="Arial" w:cs="Arial"/>
                <w:b/>
                <w:b/>
                <w:sz w:val="20"/>
                <w:szCs w:val="20"/>
                <w:u w:val="single"/>
              </w:rPr>
            </w:pPr>
            <w:r>
              <w:rPr>
                <w:rFonts w:cs="Arial" w:ascii="Arial" w:hAnsi="Arial"/>
                <w:b/>
                <w:sz w:val="20"/>
                <w:szCs w:val="20"/>
                <w:u w:val="single"/>
              </w:rPr>
              <w:t>Experience</w:t>
            </w:r>
          </w:p>
          <w:p>
            <w:pPr>
              <w:pStyle w:val="NoSpacing"/>
              <w:spacing w:lineRule="auto" w:line="240" w:before="0" w:after="0"/>
              <w:rPr>
                <w:rFonts w:ascii="Arial" w:hAnsi="Arial" w:cs="Arial"/>
                <w:b/>
                <w:b/>
                <w:sz w:val="20"/>
                <w:szCs w:val="20"/>
              </w:rPr>
            </w:pPr>
            <w:r>
              <w:rPr>
                <w:rFonts w:cs="Arial" w:ascii="Arial" w:hAnsi="Arial"/>
                <w:b/>
                <w:sz w:val="20"/>
                <w:szCs w:val="20"/>
              </w:rPr>
            </w:r>
          </w:p>
          <w:p>
            <w:pPr>
              <w:pStyle w:val="NoSpacing"/>
              <w:numPr>
                <w:ilvl w:val="0"/>
                <w:numId w:val="16"/>
              </w:numPr>
              <w:spacing w:lineRule="auto" w:line="240" w:before="0" w:after="0"/>
              <w:rPr>
                <w:rFonts w:ascii="Arial" w:hAnsi="Arial" w:cs="Arial"/>
                <w:sz w:val="20"/>
                <w:szCs w:val="20"/>
              </w:rPr>
            </w:pPr>
            <w:r>
              <w:rPr>
                <w:rFonts w:cs="Arial" w:ascii="Arial" w:hAnsi="Arial"/>
                <w:sz w:val="20"/>
                <w:szCs w:val="20"/>
              </w:rPr>
              <w:t>Substantial experience of the relevant service area</w:t>
            </w:r>
          </w:p>
          <w:p>
            <w:pPr>
              <w:pStyle w:val="NoSpacing"/>
              <w:numPr>
                <w:ilvl w:val="0"/>
                <w:numId w:val="16"/>
              </w:numPr>
              <w:spacing w:lineRule="auto" w:line="240" w:before="0" w:after="0"/>
              <w:rPr>
                <w:rFonts w:ascii="Arial" w:hAnsi="Arial" w:cs="Arial"/>
                <w:sz w:val="20"/>
                <w:szCs w:val="20"/>
              </w:rPr>
            </w:pPr>
            <w:r>
              <w:rPr>
                <w:rFonts w:cs="Arial" w:ascii="Arial" w:hAnsi="Arial"/>
                <w:sz w:val="20"/>
                <w:szCs w:val="20"/>
              </w:rPr>
              <w:t>Substantial experience of Mental health, Funding, Care Act and Copdols</w:t>
            </w:r>
          </w:p>
          <w:p>
            <w:pPr>
              <w:pStyle w:val="NoSpacing"/>
              <w:numPr>
                <w:ilvl w:val="0"/>
                <w:numId w:val="16"/>
              </w:numPr>
              <w:spacing w:lineRule="auto" w:line="240" w:before="0" w:after="0"/>
              <w:rPr>
                <w:rFonts w:ascii="Arial" w:hAnsi="Arial" w:cs="Arial"/>
                <w:sz w:val="20"/>
                <w:szCs w:val="20"/>
              </w:rPr>
            </w:pPr>
            <w:r>
              <w:rPr>
                <w:rFonts w:cs="Arial" w:ascii="Arial" w:hAnsi="Arial"/>
                <w:sz w:val="20"/>
                <w:szCs w:val="20"/>
              </w:rPr>
              <w:t>Experience of staff supervision/practice supervision</w:t>
            </w:r>
          </w:p>
          <w:p>
            <w:pPr>
              <w:pStyle w:val="NoSpacing"/>
              <w:spacing w:lineRule="auto" w:line="240" w:before="0" w:after="0"/>
              <w:rPr>
                <w:rFonts w:ascii="Arial" w:hAnsi="Arial" w:cs="Arial"/>
                <w:b/>
                <w:b/>
                <w:sz w:val="20"/>
                <w:szCs w:val="20"/>
                <w:u w:val="single"/>
              </w:rPr>
            </w:pPr>
            <w:r>
              <w:rPr>
                <w:rFonts w:cs="Arial" w:ascii="Arial" w:hAnsi="Arial"/>
                <w:b/>
                <w:sz w:val="20"/>
                <w:szCs w:val="20"/>
                <w:u w:val="single"/>
              </w:rPr>
            </w:r>
          </w:p>
          <w:p>
            <w:pPr>
              <w:pStyle w:val="NoSpacing"/>
              <w:spacing w:lineRule="auto" w:line="240" w:before="0" w:after="0"/>
              <w:rPr>
                <w:rFonts w:ascii="Arial" w:hAnsi="Arial" w:cs="Arial"/>
                <w:b/>
                <w:b/>
                <w:sz w:val="20"/>
                <w:szCs w:val="20"/>
                <w:u w:val="single"/>
              </w:rPr>
            </w:pPr>
            <w:r>
              <w:rPr>
                <w:rFonts w:cs="Arial" w:ascii="Arial" w:hAnsi="Arial"/>
                <w:b/>
                <w:sz w:val="20"/>
                <w:szCs w:val="20"/>
                <w:u w:val="single"/>
              </w:rPr>
              <w:t xml:space="preserve">Key Skills and Competencies </w:t>
            </w:r>
          </w:p>
          <w:p>
            <w:pPr>
              <w:pStyle w:val="NoSpacing"/>
              <w:spacing w:lineRule="auto" w:line="240" w:before="0" w:after="0"/>
              <w:ind w:left="720" w:right="0" w:hanging="0"/>
              <w:rPr>
                <w:rFonts w:ascii="Arial" w:hAnsi="Arial" w:cs="Arial"/>
                <w:sz w:val="20"/>
                <w:szCs w:val="20"/>
              </w:rPr>
            </w:pPr>
            <w:r>
              <w:rPr>
                <w:rFonts w:cs="Arial" w:ascii="Arial" w:hAnsi="Arial"/>
                <w:sz w:val="20"/>
                <w:szCs w:val="20"/>
              </w:rPr>
            </w:r>
          </w:p>
          <w:p>
            <w:pPr>
              <w:pStyle w:val="NoSpacing"/>
              <w:numPr>
                <w:ilvl w:val="0"/>
                <w:numId w:val="17"/>
              </w:numPr>
              <w:spacing w:lineRule="auto" w:line="240" w:before="0" w:after="0"/>
              <w:rPr>
                <w:rFonts w:ascii="Arial" w:hAnsi="Arial" w:cs="Arial"/>
                <w:sz w:val="20"/>
                <w:szCs w:val="20"/>
              </w:rPr>
            </w:pPr>
            <w:r>
              <w:rPr>
                <w:rFonts w:cs="Arial" w:ascii="Arial" w:hAnsi="Arial"/>
                <w:sz w:val="20"/>
                <w:szCs w:val="20"/>
              </w:rPr>
              <w:t>Maintain activities to meet requirements</w:t>
            </w:r>
          </w:p>
          <w:p>
            <w:pPr>
              <w:pStyle w:val="NoSpacing"/>
              <w:numPr>
                <w:ilvl w:val="0"/>
                <w:numId w:val="17"/>
              </w:numPr>
              <w:spacing w:lineRule="auto" w:line="240" w:before="0" w:after="0"/>
              <w:rPr>
                <w:rFonts w:ascii="Arial" w:hAnsi="Arial" w:cs="Arial"/>
                <w:sz w:val="20"/>
                <w:szCs w:val="20"/>
              </w:rPr>
            </w:pPr>
            <w:r>
              <w:rPr>
                <w:rFonts w:cs="Arial" w:ascii="Arial" w:hAnsi="Arial"/>
                <w:sz w:val="20"/>
                <w:szCs w:val="20"/>
              </w:rPr>
              <w:t>Contribute to improvements at work</w:t>
            </w:r>
          </w:p>
          <w:p>
            <w:pPr>
              <w:pStyle w:val="NoSpacing"/>
              <w:numPr>
                <w:ilvl w:val="0"/>
                <w:numId w:val="17"/>
              </w:numPr>
              <w:spacing w:lineRule="auto" w:line="240" w:before="0" w:after="0"/>
              <w:rPr>
                <w:rFonts w:ascii="Arial" w:hAnsi="Arial" w:cs="Arial"/>
                <w:sz w:val="20"/>
                <w:szCs w:val="20"/>
              </w:rPr>
            </w:pPr>
            <w:r>
              <w:rPr>
                <w:rFonts w:cs="Arial" w:ascii="Arial" w:hAnsi="Arial"/>
                <w:sz w:val="20"/>
                <w:szCs w:val="20"/>
              </w:rPr>
              <w:t>Manage yourself</w:t>
            </w:r>
          </w:p>
          <w:p>
            <w:pPr>
              <w:pStyle w:val="NoSpacing"/>
              <w:numPr>
                <w:ilvl w:val="0"/>
                <w:numId w:val="17"/>
              </w:numPr>
              <w:spacing w:lineRule="auto" w:line="240" w:before="0" w:after="0"/>
              <w:rPr>
                <w:rFonts w:ascii="Arial" w:hAnsi="Arial" w:cs="Arial"/>
                <w:sz w:val="20"/>
                <w:szCs w:val="20"/>
              </w:rPr>
            </w:pPr>
            <w:r>
              <w:rPr>
                <w:rFonts w:cs="Arial" w:ascii="Arial" w:hAnsi="Arial"/>
                <w:sz w:val="20"/>
                <w:szCs w:val="20"/>
              </w:rPr>
              <w:t>Create effective working relationships</w:t>
            </w:r>
          </w:p>
          <w:p>
            <w:pPr>
              <w:pStyle w:val="NoSpacing"/>
              <w:numPr>
                <w:ilvl w:val="0"/>
                <w:numId w:val="17"/>
              </w:numPr>
              <w:spacing w:lineRule="auto" w:line="240" w:before="0" w:after="0"/>
              <w:rPr>
                <w:rFonts w:ascii="Arial" w:hAnsi="Arial" w:cs="Arial"/>
                <w:sz w:val="20"/>
                <w:szCs w:val="20"/>
              </w:rPr>
            </w:pPr>
            <w:r>
              <w:rPr>
                <w:rFonts w:cs="Arial" w:ascii="Arial" w:hAnsi="Arial"/>
                <w:sz w:val="20"/>
                <w:szCs w:val="20"/>
              </w:rPr>
              <w:t>Respond to poor performance in the team</w:t>
            </w:r>
          </w:p>
          <w:p>
            <w:pPr>
              <w:pStyle w:val="NoSpacing"/>
              <w:numPr>
                <w:ilvl w:val="0"/>
                <w:numId w:val="17"/>
              </w:numPr>
              <w:spacing w:lineRule="auto" w:line="240" w:before="0" w:after="0"/>
              <w:rPr>
                <w:rFonts w:ascii="Arial" w:hAnsi="Arial" w:cs="Arial"/>
                <w:sz w:val="20"/>
                <w:szCs w:val="20"/>
              </w:rPr>
            </w:pPr>
            <w:r>
              <w:rPr>
                <w:rFonts w:cs="Arial" w:ascii="Arial" w:hAnsi="Arial"/>
                <w:sz w:val="20"/>
                <w:szCs w:val="20"/>
              </w:rPr>
              <w:t>Manage information for action</w:t>
            </w:r>
          </w:p>
          <w:p>
            <w:pPr>
              <w:pStyle w:val="NoSpacing"/>
              <w:numPr>
                <w:ilvl w:val="0"/>
                <w:numId w:val="17"/>
              </w:numPr>
              <w:spacing w:lineRule="auto" w:line="240" w:before="0" w:after="0"/>
              <w:rPr>
                <w:rFonts w:ascii="Arial" w:hAnsi="Arial" w:cs="Arial"/>
                <w:sz w:val="20"/>
                <w:szCs w:val="20"/>
              </w:rPr>
            </w:pPr>
            <w:r>
              <w:rPr>
                <w:rFonts w:cs="Arial" w:ascii="Arial" w:hAnsi="Arial"/>
                <w:sz w:val="20"/>
                <w:szCs w:val="20"/>
              </w:rPr>
              <w:t>Support the efficient use of resources</w:t>
            </w:r>
          </w:p>
          <w:p>
            <w:pPr>
              <w:pStyle w:val="NoSpacing"/>
              <w:numPr>
                <w:ilvl w:val="0"/>
                <w:numId w:val="17"/>
              </w:numPr>
              <w:spacing w:lineRule="auto" w:line="240" w:before="0" w:after="0"/>
              <w:rPr>
                <w:rFonts w:ascii="Arial" w:hAnsi="Arial" w:cs="Arial"/>
                <w:sz w:val="20"/>
                <w:szCs w:val="20"/>
              </w:rPr>
            </w:pPr>
            <w:r>
              <w:rPr>
                <w:rFonts w:cs="Arial" w:ascii="Arial" w:hAnsi="Arial"/>
                <w:sz w:val="20"/>
                <w:szCs w:val="20"/>
              </w:rPr>
              <w:t>Contribute to the development of teams/individuals</w:t>
            </w:r>
          </w:p>
          <w:p>
            <w:pPr>
              <w:pStyle w:val="NoSpacing"/>
              <w:numPr>
                <w:ilvl w:val="0"/>
                <w:numId w:val="17"/>
              </w:numPr>
              <w:spacing w:lineRule="auto" w:line="240" w:before="0" w:after="0"/>
              <w:rPr>
                <w:rFonts w:ascii="Arial" w:hAnsi="Arial" w:cs="Arial"/>
                <w:sz w:val="20"/>
                <w:szCs w:val="20"/>
              </w:rPr>
            </w:pPr>
            <w:r>
              <w:rPr>
                <w:rFonts w:cs="Arial" w:ascii="Arial" w:hAnsi="Arial"/>
                <w:sz w:val="20"/>
                <w:szCs w:val="20"/>
              </w:rPr>
              <w:t>Ability to fulfil all spoken aspects of the role with confidence through the medium of English</w:t>
            </w:r>
          </w:p>
          <w:p>
            <w:pPr>
              <w:pStyle w:val="NoSpacing"/>
              <w:spacing w:lineRule="auto" w:line="240" w:before="0" w:after="0"/>
              <w:rPr>
                <w:rFonts w:ascii="Arial" w:hAnsi="Arial" w:cs="Arial"/>
                <w:sz w:val="20"/>
                <w:szCs w:val="20"/>
              </w:rPr>
            </w:pPr>
            <w:r>
              <w:rPr>
                <w:rFonts w:cs="Arial" w:ascii="Arial" w:hAnsi="Arial"/>
                <w:sz w:val="20"/>
                <w:szCs w:val="20"/>
              </w:rPr>
            </w:r>
          </w:p>
          <w:p>
            <w:pPr>
              <w:pStyle w:val="NoSpacing"/>
              <w:spacing w:lineRule="auto" w:line="240" w:before="0" w:after="0"/>
              <w:rPr>
                <w:rFonts w:ascii="Arial" w:hAnsi="Arial" w:cs="Arial"/>
                <w:b/>
                <w:b/>
                <w:sz w:val="20"/>
                <w:szCs w:val="20"/>
                <w:u w:val="single"/>
              </w:rPr>
            </w:pPr>
            <w:r>
              <w:rPr>
                <w:rFonts w:cs="Arial" w:ascii="Arial" w:hAnsi="Arial"/>
                <w:b/>
                <w:sz w:val="20"/>
                <w:szCs w:val="20"/>
                <w:u w:val="single"/>
              </w:rPr>
              <w:t>Key Knowledge</w:t>
            </w:r>
          </w:p>
          <w:p>
            <w:pPr>
              <w:pStyle w:val="NoSpacing"/>
              <w:spacing w:lineRule="auto" w:line="240" w:before="0" w:after="0"/>
              <w:rPr>
                <w:rFonts w:ascii="Arial" w:hAnsi="Arial" w:cs="Arial"/>
                <w:sz w:val="20"/>
                <w:szCs w:val="20"/>
              </w:rPr>
            </w:pPr>
            <w:r>
              <w:rPr>
                <w:rFonts w:cs="Arial" w:ascii="Arial" w:hAnsi="Arial"/>
                <w:sz w:val="20"/>
                <w:szCs w:val="20"/>
              </w:rPr>
            </w:r>
          </w:p>
          <w:p>
            <w:pPr>
              <w:pStyle w:val="NoSpacing"/>
              <w:numPr>
                <w:ilvl w:val="0"/>
                <w:numId w:val="18"/>
              </w:numPr>
              <w:spacing w:lineRule="auto" w:line="240" w:before="0" w:after="0"/>
              <w:rPr>
                <w:rFonts w:ascii="Arial" w:hAnsi="Arial" w:cs="Arial"/>
                <w:sz w:val="20"/>
                <w:szCs w:val="20"/>
              </w:rPr>
            </w:pPr>
            <w:r>
              <w:rPr>
                <w:rFonts w:cs="Arial" w:ascii="Arial" w:hAnsi="Arial"/>
                <w:sz w:val="20"/>
                <w:szCs w:val="20"/>
              </w:rPr>
              <w:t>Legislation, regulations and standards relevant to service area</w:t>
            </w:r>
          </w:p>
          <w:p>
            <w:pPr>
              <w:pStyle w:val="NoSpacing"/>
              <w:numPr>
                <w:ilvl w:val="0"/>
                <w:numId w:val="18"/>
              </w:numPr>
              <w:spacing w:lineRule="auto" w:line="240" w:before="0" w:after="0"/>
              <w:rPr>
                <w:rFonts w:ascii="Arial" w:hAnsi="Arial" w:cs="Arial"/>
                <w:sz w:val="20"/>
                <w:szCs w:val="20"/>
              </w:rPr>
            </w:pPr>
            <w:r>
              <w:rPr>
                <w:rFonts w:cs="Arial" w:ascii="Arial" w:hAnsi="Arial"/>
                <w:sz w:val="20"/>
                <w:szCs w:val="20"/>
              </w:rPr>
              <w:t>Assessment and care planning process and procedures relevant to service area including funding, copdols, Care act and other relevant legislation</w:t>
            </w:r>
          </w:p>
          <w:p>
            <w:pPr>
              <w:pStyle w:val="NoSpacing"/>
              <w:numPr>
                <w:ilvl w:val="0"/>
                <w:numId w:val="18"/>
              </w:numPr>
              <w:spacing w:lineRule="auto" w:line="240" w:before="0" w:after="0"/>
              <w:rPr>
                <w:rFonts w:ascii="Arial" w:hAnsi="Arial" w:cs="Arial"/>
                <w:sz w:val="20"/>
                <w:szCs w:val="20"/>
              </w:rPr>
            </w:pPr>
            <w:r>
              <w:rPr>
                <w:rFonts w:cs="Arial" w:ascii="Arial" w:hAnsi="Arial"/>
                <w:sz w:val="20"/>
                <w:szCs w:val="20"/>
              </w:rPr>
              <w:t>Human growth and development and relationships</w:t>
            </w:r>
          </w:p>
          <w:p>
            <w:pPr>
              <w:pStyle w:val="NoSpacing"/>
              <w:numPr>
                <w:ilvl w:val="0"/>
                <w:numId w:val="18"/>
              </w:numPr>
              <w:spacing w:lineRule="auto" w:line="240" w:before="0" w:after="0"/>
              <w:rPr>
                <w:rFonts w:ascii="Arial" w:hAnsi="Arial" w:cs="Arial"/>
                <w:sz w:val="20"/>
                <w:szCs w:val="20"/>
              </w:rPr>
            </w:pPr>
            <w:r>
              <w:rPr>
                <w:rFonts w:cs="Arial" w:ascii="Arial" w:hAnsi="Arial"/>
                <w:sz w:val="20"/>
                <w:szCs w:val="20"/>
              </w:rPr>
              <w:t>Planning and decision-making structures and mechanisms relevant to the service area</w:t>
            </w:r>
          </w:p>
          <w:p>
            <w:pPr>
              <w:pStyle w:val="NoSpacing"/>
              <w:numPr>
                <w:ilvl w:val="0"/>
                <w:numId w:val="18"/>
              </w:numPr>
              <w:spacing w:lineRule="auto" w:line="240" w:before="0" w:after="0"/>
              <w:rPr>
                <w:rFonts w:ascii="Arial" w:hAnsi="Arial" w:cs="Arial"/>
                <w:sz w:val="20"/>
                <w:szCs w:val="20"/>
              </w:rPr>
            </w:pPr>
            <w:r>
              <w:rPr>
                <w:rFonts w:cs="Arial" w:ascii="Arial" w:hAnsi="Arial"/>
                <w:sz w:val="20"/>
                <w:szCs w:val="20"/>
              </w:rPr>
              <w:t>Social care theory</w:t>
            </w:r>
          </w:p>
          <w:p>
            <w:pPr>
              <w:pStyle w:val="NoSpacing"/>
              <w:numPr>
                <w:ilvl w:val="0"/>
                <w:numId w:val="18"/>
              </w:numPr>
              <w:spacing w:lineRule="auto" w:line="240" w:before="0" w:after="0"/>
              <w:rPr>
                <w:rFonts w:ascii="Arial" w:hAnsi="Arial" w:cs="Arial"/>
                <w:sz w:val="20"/>
                <w:szCs w:val="20"/>
              </w:rPr>
            </w:pPr>
            <w:r>
              <w:rPr>
                <w:rFonts w:cs="Arial" w:ascii="Arial" w:hAnsi="Arial"/>
                <w:sz w:val="20"/>
                <w:szCs w:val="20"/>
              </w:rPr>
              <w:t>Management theory and practice</w:t>
            </w:r>
          </w:p>
          <w:p>
            <w:pPr>
              <w:pStyle w:val="NoSpacing"/>
              <w:numPr>
                <w:ilvl w:val="0"/>
                <w:numId w:val="18"/>
              </w:numPr>
              <w:spacing w:lineRule="auto" w:line="240" w:before="0" w:after="0"/>
              <w:rPr>
                <w:rFonts w:ascii="Arial" w:hAnsi="Arial" w:cs="Arial"/>
                <w:sz w:val="20"/>
                <w:szCs w:val="20"/>
              </w:rPr>
            </w:pPr>
            <w:r>
              <w:rPr>
                <w:rFonts w:cs="Arial" w:ascii="Arial" w:hAnsi="Arial"/>
                <w:sz w:val="20"/>
                <w:szCs w:val="20"/>
              </w:rPr>
              <w:t>Government and local objectives and targets for the service area</w:t>
            </w:r>
          </w:p>
          <w:p>
            <w:pPr>
              <w:pStyle w:val="NoSpacing"/>
              <w:numPr>
                <w:ilvl w:val="0"/>
                <w:numId w:val="18"/>
              </w:numPr>
              <w:spacing w:lineRule="auto" w:line="240" w:before="0" w:after="0"/>
              <w:rPr>
                <w:rFonts w:ascii="Arial" w:hAnsi="Arial" w:cs="Arial"/>
                <w:sz w:val="20"/>
                <w:szCs w:val="20"/>
              </w:rPr>
            </w:pPr>
            <w:r>
              <w:rPr>
                <w:rFonts w:cs="Arial" w:ascii="Arial" w:hAnsi="Arial"/>
                <w:sz w:val="20"/>
                <w:szCs w:val="20"/>
              </w:rPr>
              <w:t>Role and function of key partner agencies in the statutory and voluntary sector</w:t>
            </w:r>
          </w:p>
          <w:p>
            <w:pPr>
              <w:pStyle w:val="NoSpacing"/>
              <w:numPr>
                <w:ilvl w:val="0"/>
                <w:numId w:val="18"/>
              </w:numPr>
              <w:spacing w:lineRule="auto" w:line="240" w:before="0" w:after="0"/>
              <w:rPr>
                <w:rFonts w:ascii="Arial" w:hAnsi="Arial" w:cs="Arial"/>
                <w:sz w:val="20"/>
                <w:szCs w:val="20"/>
              </w:rPr>
            </w:pPr>
            <w:r>
              <w:rPr>
                <w:rFonts w:cs="Arial" w:ascii="Arial" w:hAnsi="Arial"/>
                <w:sz w:val="20"/>
                <w:szCs w:val="20"/>
              </w:rPr>
              <w:t>Knowledge of current developments in relevant service area</w:t>
            </w:r>
          </w:p>
          <w:p>
            <w:pPr>
              <w:pStyle w:val="NoSpacing"/>
              <w:spacing w:lineRule="auto" w:line="240" w:before="0" w:after="0"/>
              <w:ind w:left="720" w:right="0" w:hanging="0"/>
              <w:rPr>
                <w:rFonts w:ascii="Arial" w:hAnsi="Arial" w:cs="Arial"/>
                <w:sz w:val="20"/>
                <w:szCs w:val="20"/>
              </w:rPr>
            </w:pPr>
            <w:r>
              <w:rPr>
                <w:rFonts w:cs="Arial" w:ascii="Arial" w:hAnsi="Arial"/>
                <w:sz w:val="20"/>
                <w:szCs w:val="20"/>
              </w:rPr>
            </w:r>
          </w:p>
          <w:p>
            <w:pPr>
              <w:pStyle w:val="NoSpacing"/>
              <w:spacing w:lineRule="auto" w:line="240" w:before="0" w:after="0"/>
              <w:rPr>
                <w:rFonts w:ascii="Arial" w:hAnsi="Arial" w:cs="Arial"/>
                <w:sz w:val="20"/>
                <w:szCs w:val="20"/>
              </w:rPr>
            </w:pPr>
            <w:r>
              <w:rPr>
                <w:rFonts w:cs="Arial" w:ascii="Arial" w:hAnsi="Arial"/>
                <w:sz w:val="20"/>
                <w:szCs w:val="20"/>
              </w:rPr>
            </w:r>
          </w:p>
          <w:p>
            <w:pPr>
              <w:pStyle w:val="NoSpacing"/>
              <w:spacing w:lineRule="auto" w:line="240" w:before="0" w:after="0"/>
              <w:rPr>
                <w:rFonts w:ascii="Arial" w:hAnsi="Arial" w:cs="Arial"/>
                <w:b/>
                <w:b/>
                <w:sz w:val="20"/>
                <w:szCs w:val="20"/>
                <w:u w:val="single"/>
              </w:rPr>
            </w:pPr>
            <w:r>
              <w:rPr>
                <w:rFonts w:cs="Arial" w:ascii="Arial" w:hAnsi="Arial"/>
                <w:b/>
                <w:sz w:val="20"/>
                <w:szCs w:val="20"/>
                <w:u w:val="single"/>
              </w:rPr>
              <w:t>Key Aptitudes and Personal Qualities</w:t>
            </w:r>
          </w:p>
          <w:p>
            <w:pPr>
              <w:pStyle w:val="NoSpacing"/>
              <w:spacing w:lineRule="auto" w:line="240" w:before="0" w:after="0"/>
              <w:rPr>
                <w:rFonts w:ascii="Arial" w:hAnsi="Arial" w:cs="Arial"/>
                <w:sz w:val="20"/>
                <w:szCs w:val="20"/>
              </w:rPr>
            </w:pPr>
            <w:r>
              <w:rPr>
                <w:rFonts w:cs="Arial" w:ascii="Arial" w:hAnsi="Arial"/>
                <w:sz w:val="20"/>
                <w:szCs w:val="20"/>
              </w:rPr>
            </w:r>
          </w:p>
          <w:p>
            <w:pPr>
              <w:pStyle w:val="NoSpacing"/>
              <w:numPr>
                <w:ilvl w:val="0"/>
                <w:numId w:val="19"/>
              </w:numPr>
              <w:spacing w:lineRule="auto" w:line="240" w:before="0" w:after="0"/>
              <w:rPr>
                <w:rFonts w:ascii="Arial" w:hAnsi="Arial" w:cs="Arial"/>
                <w:sz w:val="20"/>
                <w:szCs w:val="20"/>
              </w:rPr>
            </w:pPr>
            <w:r>
              <w:rPr>
                <w:rFonts w:cs="Arial" w:ascii="Arial" w:hAnsi="Arial"/>
                <w:sz w:val="20"/>
                <w:szCs w:val="20"/>
              </w:rPr>
              <w:t>Ability to demonstrate leadership</w:t>
            </w:r>
          </w:p>
          <w:p>
            <w:pPr>
              <w:pStyle w:val="NoSpacing"/>
              <w:numPr>
                <w:ilvl w:val="0"/>
                <w:numId w:val="19"/>
              </w:numPr>
              <w:spacing w:lineRule="auto" w:line="240" w:before="0" w:after="0"/>
              <w:rPr>
                <w:rFonts w:ascii="Arial" w:hAnsi="Arial" w:cs="Arial"/>
                <w:sz w:val="20"/>
                <w:szCs w:val="20"/>
              </w:rPr>
            </w:pPr>
            <w:r>
              <w:rPr>
                <w:rFonts w:cs="Arial" w:ascii="Arial" w:hAnsi="Arial"/>
                <w:sz w:val="20"/>
                <w:szCs w:val="20"/>
              </w:rPr>
              <w:t>Contribute to making informed and timely decisions</w:t>
            </w:r>
          </w:p>
          <w:p>
            <w:pPr>
              <w:pStyle w:val="NoSpacing"/>
              <w:numPr>
                <w:ilvl w:val="0"/>
                <w:numId w:val="19"/>
              </w:numPr>
              <w:spacing w:lineRule="auto" w:line="240" w:before="0" w:after="0"/>
              <w:rPr>
                <w:rFonts w:ascii="Arial" w:hAnsi="Arial" w:cs="Arial"/>
                <w:sz w:val="20"/>
                <w:szCs w:val="20"/>
              </w:rPr>
            </w:pPr>
            <w:r>
              <w:rPr>
                <w:rFonts w:cs="Arial" w:ascii="Arial" w:hAnsi="Arial"/>
                <w:sz w:val="20"/>
                <w:szCs w:val="20"/>
              </w:rPr>
              <w:t>Negotiation skills</w:t>
            </w:r>
          </w:p>
          <w:p>
            <w:pPr>
              <w:pStyle w:val="NoSpacing"/>
              <w:numPr>
                <w:ilvl w:val="0"/>
                <w:numId w:val="19"/>
              </w:numPr>
              <w:spacing w:lineRule="auto" w:line="240" w:before="0" w:after="0"/>
              <w:rPr>
                <w:rFonts w:ascii="Arial" w:hAnsi="Arial" w:cs="Arial"/>
                <w:sz w:val="20"/>
                <w:szCs w:val="20"/>
              </w:rPr>
            </w:pPr>
            <w:r>
              <w:rPr>
                <w:rFonts w:cs="Arial" w:ascii="Arial" w:hAnsi="Arial"/>
                <w:sz w:val="20"/>
                <w:szCs w:val="20"/>
              </w:rPr>
              <w:t>Ability to communicate effectively in a variety of media</w:t>
            </w:r>
          </w:p>
          <w:p>
            <w:pPr>
              <w:pStyle w:val="NoSpacing"/>
              <w:numPr>
                <w:ilvl w:val="0"/>
                <w:numId w:val="19"/>
              </w:numPr>
              <w:spacing w:lineRule="auto" w:line="240" w:before="0" w:after="0"/>
              <w:rPr>
                <w:rFonts w:ascii="Arial" w:hAnsi="Arial" w:cs="Arial"/>
                <w:sz w:val="20"/>
                <w:szCs w:val="20"/>
              </w:rPr>
            </w:pPr>
            <w:r>
              <w:rPr>
                <w:rFonts w:cs="Arial" w:ascii="Arial" w:hAnsi="Arial"/>
                <w:sz w:val="20"/>
                <w:szCs w:val="20"/>
              </w:rPr>
              <w:t>Ability to influence others</w:t>
            </w:r>
          </w:p>
          <w:p>
            <w:pPr>
              <w:pStyle w:val="NoSpacing"/>
              <w:numPr>
                <w:ilvl w:val="0"/>
                <w:numId w:val="19"/>
              </w:numPr>
              <w:spacing w:lineRule="auto" w:line="240" w:before="0" w:after="0"/>
              <w:rPr>
                <w:rFonts w:ascii="Arial" w:hAnsi="Arial" w:cs="Arial"/>
                <w:sz w:val="20"/>
                <w:szCs w:val="20"/>
              </w:rPr>
            </w:pPr>
            <w:r>
              <w:rPr>
                <w:rFonts w:cs="Arial" w:ascii="Arial" w:hAnsi="Arial"/>
                <w:sz w:val="20"/>
                <w:szCs w:val="20"/>
              </w:rPr>
              <w:t>Personal integrity and flexibility</w:t>
            </w:r>
          </w:p>
          <w:p>
            <w:pPr>
              <w:pStyle w:val="NoSpacing"/>
              <w:numPr>
                <w:ilvl w:val="0"/>
                <w:numId w:val="19"/>
              </w:numPr>
              <w:spacing w:lineRule="auto" w:line="240" w:before="0" w:after="0"/>
              <w:rPr>
                <w:rFonts w:ascii="Arial" w:hAnsi="Arial" w:cs="Arial"/>
                <w:sz w:val="20"/>
                <w:szCs w:val="20"/>
              </w:rPr>
            </w:pPr>
            <w:r>
              <w:rPr>
                <w:rFonts w:cs="Arial" w:ascii="Arial" w:hAnsi="Arial"/>
                <w:sz w:val="20"/>
                <w:szCs w:val="20"/>
              </w:rPr>
              <w:t>Public service orientation</w:t>
            </w:r>
          </w:p>
          <w:p>
            <w:pPr>
              <w:pStyle w:val="NoSpacing"/>
              <w:numPr>
                <w:ilvl w:val="0"/>
                <w:numId w:val="19"/>
              </w:numPr>
              <w:spacing w:lineRule="auto" w:line="240" w:before="0" w:after="0"/>
              <w:rPr>
                <w:rFonts w:ascii="Arial" w:hAnsi="Arial" w:cs="Arial"/>
                <w:sz w:val="20"/>
                <w:szCs w:val="20"/>
              </w:rPr>
            </w:pPr>
            <w:r>
              <w:rPr>
                <w:rFonts w:cs="Arial" w:ascii="Arial" w:hAnsi="Arial"/>
                <w:sz w:val="20"/>
                <w:szCs w:val="20"/>
              </w:rPr>
              <w:t>Ability to manage stress and to work under pressure</w:t>
            </w:r>
          </w:p>
          <w:p>
            <w:pPr>
              <w:pStyle w:val="NoSpacing"/>
              <w:spacing w:lineRule="auto" w:line="240" w:before="0" w:after="0"/>
              <w:rPr>
                <w:rFonts w:ascii="Arial" w:hAnsi="Arial" w:cs="Arial"/>
                <w:sz w:val="20"/>
                <w:szCs w:val="20"/>
              </w:rPr>
            </w:pPr>
            <w:r>
              <w:rPr>
                <w:rFonts w:cs="Arial" w:ascii="Arial" w:hAnsi="Arial"/>
                <w:sz w:val="20"/>
                <w:szCs w:val="20"/>
              </w:rPr>
            </w:r>
          </w:p>
          <w:p>
            <w:pPr>
              <w:pStyle w:val="NoSpacing"/>
              <w:spacing w:lineRule="auto" w:line="240" w:before="0" w:after="0"/>
              <w:rPr>
                <w:rFonts w:ascii="Arial" w:hAnsi="Arial" w:cs="Arial"/>
                <w:b/>
                <w:b/>
                <w:sz w:val="20"/>
                <w:szCs w:val="20"/>
              </w:rPr>
            </w:pPr>
            <w:r>
              <w:rPr>
                <w:rFonts w:cs="Arial" w:ascii="Arial" w:hAnsi="Arial"/>
                <w:b/>
                <w:sz w:val="20"/>
                <w:szCs w:val="20"/>
              </w:rPr>
              <w:t>If you have the following experience or qualifications – then that’s great!</w:t>
            </w:r>
          </w:p>
          <w:p>
            <w:pPr>
              <w:pStyle w:val="ListParagraph"/>
              <w:numPr>
                <w:ilvl w:val="0"/>
                <w:numId w:val="4"/>
              </w:numPr>
              <w:spacing w:lineRule="auto" w:line="240" w:before="0" w:after="0"/>
              <w:contextualSpacing/>
              <w:rPr>
                <w:rFonts w:eastAsia="Calibri"/>
                <w:bCs/>
              </w:rPr>
            </w:pPr>
            <w:r>
              <w:rPr>
                <w:rFonts w:eastAsia="Calibri"/>
                <w:bCs/>
              </w:rPr>
              <w:t>Experience of staff supervision</w:t>
            </w:r>
          </w:p>
          <w:p>
            <w:pPr>
              <w:pStyle w:val="ListParagraph"/>
              <w:numPr>
                <w:ilvl w:val="0"/>
                <w:numId w:val="4"/>
              </w:numPr>
              <w:spacing w:lineRule="auto" w:line="240" w:before="0" w:after="0"/>
              <w:contextualSpacing/>
              <w:rPr>
                <w:rFonts w:eastAsia="Calibri"/>
                <w:bCs/>
              </w:rPr>
            </w:pPr>
            <w:r>
              <w:rPr>
                <w:rFonts w:eastAsia="Calibri"/>
                <w:bCs/>
              </w:rPr>
              <w:t>Management of social care services or joint services</w:t>
            </w:r>
          </w:p>
          <w:p>
            <w:pPr>
              <w:pStyle w:val="ListParagraph"/>
              <w:spacing w:lineRule="auto" w:line="240" w:before="0" w:after="0"/>
              <w:contextualSpacing/>
              <w:rPr/>
            </w:pPr>
            <w:r>
              <w:rPr/>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t>Our employees’ skills, experience and knowledge are essential to our success along with their happiness, commitment, enthusiasm and motivation to be the best they can be.</w:t>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tbl>
      <w:tblPr>
        <w:tblW w:w="9616" w:type="dxa"/>
        <w:jc w:val="left"/>
        <w:tblInd w:w="0" w:type="dxa"/>
        <w:tblCellMar>
          <w:top w:w="0" w:type="dxa"/>
          <w:left w:w="108" w:type="dxa"/>
          <w:bottom w:w="0" w:type="dxa"/>
          <w:right w:w="108" w:type="dxa"/>
        </w:tblCellMar>
      </w:tblPr>
      <w:tblGrid>
        <w:gridCol w:w="9616"/>
      </w:tblGrid>
      <w:tr>
        <w:trPr/>
        <w:tc>
          <w:tcPr>
            <w:tcW w:w="9616" w:type="dxa"/>
            <w:tcBorders>
              <w:top w:val="single" w:sz="18" w:space="0" w:color="FF99FF"/>
              <w:left w:val="single" w:sz="18" w:space="0" w:color="FF99FF"/>
              <w:bottom w:val="single" w:sz="18" w:space="0" w:color="FF99FF"/>
              <w:right w:val="single" w:sz="18" w:space="0" w:color="FF99FF"/>
            </w:tcBorders>
            <w:shd w:fill="FFCCFF" w:val="clear"/>
          </w:tcPr>
          <w:p>
            <w:pPr>
              <w:pStyle w:val="Normal"/>
              <w:spacing w:lineRule="auto" w:line="240" w:before="0" w:after="280"/>
              <w:textAlignment w:val="top"/>
              <w:rPr>
                <w:rFonts w:ascii="Arial" w:hAnsi="Arial" w:cs="Arial"/>
                <w:b/>
                <w:b/>
                <w:bCs/>
                <w:sz w:val="22"/>
                <w:szCs w:val="22"/>
                <w:lang w:eastAsia="en-GB"/>
              </w:rPr>
            </w:pPr>
            <w:r>
              <w:rPr>
                <w:rFonts w:cs="Arial" w:ascii="Arial" w:hAnsi="Arial"/>
                <w:b/>
                <w:bCs/>
                <w:sz w:val="22"/>
                <w:szCs w:val="22"/>
                <w:lang w:eastAsia="en-GB"/>
              </w:rPr>
              <w:t>What can you expect from us?</w:t>
            </w:r>
          </w:p>
          <w:p>
            <w:pPr>
              <w:pStyle w:val="Normal"/>
              <w:numPr>
                <w:ilvl w:val="0"/>
                <w:numId w:val="2"/>
              </w:numPr>
              <w:spacing w:lineRule="auto" w:line="240" w:before="280" w:after="0"/>
              <w:textAlignment w:val="top"/>
              <w:rPr>
                <w:rFonts w:ascii="Arial" w:hAnsi="Arial" w:cs="Arial"/>
                <w:sz w:val="22"/>
                <w:szCs w:val="22"/>
                <w:lang w:eastAsia="en-GB"/>
              </w:rPr>
            </w:pPr>
            <w:r>
              <w:rPr>
                <w:rFonts w:cs="Arial" w:ascii="Arial" w:hAnsi="Arial"/>
                <w:sz w:val="22"/>
                <w:szCs w:val="22"/>
                <w:lang w:eastAsia="en-GB"/>
              </w:rPr>
              <w:t>A fair salary and benefits</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Opportunities for good health and wellbeing</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Help you to grow, develop and to do your best</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Enable you to be creative and innovative</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Fully involve you in changes that affect you and your work</w:t>
            </w:r>
          </w:p>
          <w:p>
            <w:pPr>
              <w:pStyle w:val="Normal"/>
              <w:numPr>
                <w:ilvl w:val="0"/>
                <w:numId w:val="2"/>
              </w:numPr>
              <w:spacing w:lineRule="auto" w:line="240" w:before="0" w:after="280"/>
              <w:textAlignment w:val="top"/>
              <w:rPr>
                <w:rFonts w:ascii="Arial" w:hAnsi="Arial" w:cs="Arial"/>
                <w:sz w:val="22"/>
                <w:szCs w:val="22"/>
                <w:lang w:eastAsia="en-GB"/>
              </w:rPr>
            </w:pPr>
            <w:r>
              <w:rPr>
                <w:rFonts w:cs="Arial" w:ascii="Arial" w:hAnsi="Arial"/>
                <w:sz w:val="22"/>
                <w:szCs w:val="22"/>
                <w:lang w:eastAsia="en-GB"/>
              </w:rPr>
              <w:t>Listen, and act on your ideas and feedback</w:t>
            </w:r>
          </w:p>
          <w:p>
            <w:pPr>
              <w:pStyle w:val="Normal"/>
              <w:spacing w:lineRule="auto" w:line="240" w:before="280" w:after="0"/>
              <w:jc w:val="center"/>
              <w:textAlignment w:val="top"/>
              <w:rPr>
                <w:rFonts w:ascii="Arial" w:hAnsi="Arial" w:cs="Arial"/>
                <w:b/>
                <w:b/>
                <w:sz w:val="22"/>
                <w:szCs w:val="22"/>
                <w:lang w:eastAsia="en-GB"/>
              </w:rPr>
            </w:pPr>
            <w:r>
              <w:rPr>
                <w:rFonts w:cs="Arial" w:ascii="Arial" w:hAnsi="Arial"/>
                <w:b/>
                <w:sz w:val="22"/>
                <w:szCs w:val="22"/>
                <w:lang w:eastAsia="en-GB"/>
              </w:rPr>
              <w:t>Working together, we are proud to work for Tameside</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spacing w:lineRule="auto" w:line="276" w:before="0" w:after="120"/>
        <w:jc w:val="both"/>
        <w:rPr/>
      </w:pPr>
      <w:r>
        <w:rPr>
          <w:rFonts w:eastAsia="Calibri" w:cs="Arial" w:ascii="Arial" w:hAnsi="Arial"/>
          <w:sz w:val="22"/>
          <w:szCs w:val="22"/>
        </w:rPr>
        <w:t xml:space="preserve">Our </w:t>
      </w:r>
      <w:r>
        <w:rPr>
          <w:rFonts w:eastAsia="Calibri" w:cs="Arial" w:ascii="Arial" w:hAnsi="Arial"/>
          <w:b/>
          <w:color w:val="0070C0"/>
          <w:sz w:val="22"/>
          <w:szCs w:val="22"/>
        </w:rPr>
        <w:t>S</w:t>
      </w:r>
      <w:r>
        <w:rPr>
          <w:rFonts w:eastAsia="Calibri" w:cs="Arial" w:ascii="Arial" w:hAnsi="Arial"/>
          <w:b/>
          <w:color w:val="FF3399"/>
          <w:sz w:val="22"/>
          <w:szCs w:val="22"/>
        </w:rPr>
        <w:t>T</w:t>
      </w:r>
      <w:r>
        <w:rPr>
          <w:rFonts w:eastAsia="Calibri" w:cs="Arial" w:ascii="Arial" w:hAnsi="Arial"/>
          <w:b/>
          <w:color w:val="00B0F0"/>
          <w:sz w:val="22"/>
          <w:szCs w:val="22"/>
        </w:rPr>
        <w:t>R</w:t>
      </w:r>
      <w:r>
        <w:rPr>
          <w:rFonts w:eastAsia="Calibri" w:cs="Arial" w:ascii="Arial" w:hAnsi="Arial"/>
          <w:b/>
          <w:color w:val="92D050"/>
          <w:sz w:val="22"/>
          <w:szCs w:val="22"/>
        </w:rPr>
        <w:t>I</w:t>
      </w:r>
      <w:r>
        <w:rPr>
          <w:rFonts w:eastAsia="Calibri" w:cs="Arial" w:ascii="Arial" w:hAnsi="Arial"/>
          <w:b/>
          <w:color w:val="FFD966"/>
          <w:sz w:val="22"/>
          <w:szCs w:val="22"/>
        </w:rPr>
        <w:t>V</w:t>
      </w:r>
      <w:r>
        <w:rPr>
          <w:rFonts w:eastAsia="Calibri" w:cs="Arial" w:ascii="Arial" w:hAnsi="Arial"/>
          <w:b/>
          <w:color w:val="FFC000"/>
          <w:sz w:val="22"/>
          <w:szCs w:val="22"/>
        </w:rPr>
        <w:t>E</w:t>
      </w:r>
      <w:r>
        <w:rPr>
          <w:rFonts w:eastAsia="Calibri" w:cs="Arial" w:ascii="Arial" w:hAnsi="Arial"/>
          <w:sz w:val="22"/>
          <w:szCs w:val="22"/>
        </w:rPr>
        <w:t xml:space="preserve"> values underpin our practice and behaviours and are at the heart of everything that we do:</w:t>
      </w:r>
    </w:p>
    <w:p>
      <w:pPr>
        <w:pStyle w:val="Normal"/>
        <w:spacing w:lineRule="auto" w:line="276" w:before="0" w:after="120"/>
        <w:jc w:val="both"/>
        <w:rPr/>
      </w:pPr>
      <w:r>
        <w:rPr/>
        <w:drawing>
          <wp:inline distT="0" distB="0" distL="0" distR="0">
            <wp:extent cx="6107430" cy="57404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 t="-2" r="-2" b="-2"/>
                    <a:stretch>
                      <a:fillRect/>
                    </a:stretch>
                  </pic:blipFill>
                  <pic:spPr bwMode="auto">
                    <a:xfrm>
                      <a:off x="0" y="0"/>
                      <a:ext cx="6107430" cy="5740400"/>
                    </a:xfrm>
                    <a:prstGeom prst="rect">
                      <a:avLst/>
                    </a:prstGeom>
                  </pic:spPr>
                </pic:pic>
              </a:graphicData>
            </a:graphic>
          </wp:inline>
        </w:drawing>
      </w:r>
    </w:p>
    <w:sectPr>
      <w:headerReference w:type="default" r:id="rId3"/>
      <w:footerReference w:type="default" r:id="rId4"/>
      <w:type w:val="nextPage"/>
      <w:pgSz w:w="11906" w:h="16838"/>
      <w:pgMar w:left="1440" w:right="849" w:header="708" w:top="1701"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Arial">
    <w:charset w:val="01"/>
    <w:family w:val="swiss"/>
    <w:pitch w:val="variable"/>
  </w:font>
  <w:font w:name="Tahoma">
    <w:charset w:val="00"/>
    <w:family w:val="roman"/>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cs="Arial"/>
        <w:sz w:val="22"/>
        <w:szCs w:val="22"/>
      </w:rPr>
    </w:pPr>
    <w:r>
      <w:rPr>
        <w:rFonts w:cs="Arial" w:ascii="Arial" w:hAnsi="Arial"/>
        <w:sz w:val="22"/>
        <w:szCs w:val="22"/>
      </w:rPr>
      <w:fldChar w:fldCharType="begin"/>
    </w:r>
    <w:r>
      <w:rPr>
        <w:sz w:val="22"/>
        <w:szCs w:val="22"/>
        <w:rFonts w:cs="Arial" w:ascii="Arial" w:hAnsi="Arial"/>
      </w:rPr>
      <w:instrText> PAGE </w:instrText>
    </w:r>
    <w:r>
      <w:rPr>
        <w:sz w:val="22"/>
        <w:szCs w:val="22"/>
        <w:rFonts w:cs="Arial" w:ascii="Arial" w:hAnsi="Arial"/>
      </w:rPr>
      <w:fldChar w:fldCharType="separate"/>
    </w:r>
    <w:r>
      <w:rPr>
        <w:sz w:val="22"/>
        <w:szCs w:val="22"/>
        <w:rFonts w:cs="Arial" w:ascii="Arial" w:hAnsi="Arial"/>
      </w:rPr>
      <w:t>5</w:t>
    </w:r>
    <w:r>
      <w:rPr>
        <w:sz w:val="22"/>
        <w:szCs w:val="22"/>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06" w:type="dxa"/>
      <w:jc w:val="left"/>
      <w:tblInd w:w="0" w:type="dxa"/>
      <w:tblCellMar>
        <w:top w:w="0" w:type="dxa"/>
        <w:left w:w="108" w:type="dxa"/>
        <w:bottom w:w="0" w:type="dxa"/>
        <w:right w:w="108" w:type="dxa"/>
      </w:tblCellMar>
    </w:tblPr>
    <w:tblGrid>
      <w:gridCol w:w="4803"/>
      <w:gridCol w:w="4803"/>
    </w:tblGrid>
    <w:tr>
      <w:trPr/>
      <w:tc>
        <w:tcPr>
          <w:tcW w:w="4803" w:type="dxa"/>
          <w:tcBorders/>
          <w:shd w:fill="auto" w:val="clear"/>
        </w:tcPr>
        <w:p>
          <w:pPr>
            <w:pStyle w:val="Header"/>
            <w:spacing w:lineRule="auto" w:line="240" w:before="0" w:after="0"/>
            <w:rPr/>
          </w:pPr>
          <w:r>
            <w:rPr/>
            <w:drawing>
              <wp:inline distT="0" distB="0" distL="0" distR="0">
                <wp:extent cx="2141220" cy="5492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7" t="-34" r="-7" b="-34"/>
                        <a:stretch>
                          <a:fillRect/>
                        </a:stretch>
                      </pic:blipFill>
                      <pic:spPr bwMode="auto">
                        <a:xfrm>
                          <a:off x="0" y="0"/>
                          <a:ext cx="2141220" cy="549275"/>
                        </a:xfrm>
                        <a:prstGeom prst="rect">
                          <a:avLst/>
                        </a:prstGeom>
                      </pic:spPr>
                    </pic:pic>
                  </a:graphicData>
                </a:graphic>
              </wp:inline>
            </w:drawing>
          </w:r>
        </w:p>
      </w:tc>
      <w:tc>
        <w:tcPr>
          <w:tcW w:w="4803" w:type="dxa"/>
          <w:tcBorders/>
          <w:shd w:fill="auto" w:val="clear"/>
        </w:tcPr>
        <w:p>
          <w:pPr>
            <w:pStyle w:val="Header"/>
            <w:spacing w:lineRule="auto" w:line="240" w:before="0" w:after="0"/>
            <w:jc w:val="right"/>
            <w:rPr/>
          </w:pPr>
          <w:r>
            <w:rPr/>
            <w:drawing>
              <wp:inline distT="0" distB="0" distL="0" distR="0">
                <wp:extent cx="2294255" cy="62547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2"/>
                        <a:srcRect l="-13" t="-37" r="-13" b="-37"/>
                        <a:stretch>
                          <a:fillRect/>
                        </a:stretch>
                      </pic:blipFill>
                      <pic:spPr bwMode="auto">
                        <a:xfrm>
                          <a:off x="0" y="0"/>
                          <a:ext cx="2294255" cy="625475"/>
                        </a:xfrm>
                        <a:prstGeom prst="rect">
                          <a:avLst/>
                        </a:prstGeom>
                      </pic:spPr>
                    </pic:pic>
                  </a:graphicData>
                </a:graphic>
              </wp:inline>
            </w:drawing>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80" w:hanging="360"/>
      </w:pPr>
      <w:rPr>
        <w:rFonts w:ascii="Symbol" w:hAnsi="Symbol" w:cs="Symbol" w:hint="default"/>
        <w:rFonts w:cs="Symbol"/>
      </w:rPr>
    </w:lvl>
    <w:lvl w:ilvl="1">
      <w:start w:val="1"/>
      <w:numFmt w:val="bullet"/>
      <w:lvlText w:val="o"/>
      <w:lvlJc w:val="left"/>
      <w:pPr>
        <w:ind w:left="1500" w:hanging="360"/>
      </w:pPr>
      <w:rPr>
        <w:rFonts w:ascii="Courier New" w:hAnsi="Courier New" w:cs="Courier New" w:hint="default"/>
        <w:rFonts w:cs="Courier New"/>
      </w:rPr>
    </w:lvl>
    <w:lvl w:ilvl="2">
      <w:start w:val="1"/>
      <w:numFmt w:val="bullet"/>
      <w:lvlText w:val=""/>
      <w:lvlJc w:val="left"/>
      <w:pPr>
        <w:ind w:left="2220" w:hanging="360"/>
      </w:pPr>
      <w:rPr>
        <w:rFonts w:ascii="Wingdings" w:hAnsi="Wingdings" w:cs="Wingdings" w:hint="default"/>
        <w:rFonts w:cs="Wingdings"/>
      </w:rPr>
    </w:lvl>
    <w:lvl w:ilvl="3">
      <w:start w:val="1"/>
      <w:numFmt w:val="bullet"/>
      <w:lvlText w:val=""/>
      <w:lvlJc w:val="left"/>
      <w:pPr>
        <w:ind w:left="2940" w:hanging="360"/>
      </w:pPr>
      <w:rPr>
        <w:rFonts w:ascii="Symbol" w:hAnsi="Symbol" w:cs="Symbol" w:hint="default"/>
        <w:rFonts w:cs="Symbol"/>
      </w:rPr>
    </w:lvl>
    <w:lvl w:ilvl="4">
      <w:start w:val="1"/>
      <w:numFmt w:val="bullet"/>
      <w:lvlText w:val="o"/>
      <w:lvlJc w:val="left"/>
      <w:pPr>
        <w:ind w:left="3660" w:hanging="360"/>
      </w:pPr>
      <w:rPr>
        <w:rFonts w:ascii="Courier New" w:hAnsi="Courier New" w:cs="Courier New" w:hint="default"/>
        <w:rFonts w:cs="Courier New"/>
      </w:rPr>
    </w:lvl>
    <w:lvl w:ilvl="5">
      <w:start w:val="1"/>
      <w:numFmt w:val="bullet"/>
      <w:lvlText w:val=""/>
      <w:lvlJc w:val="left"/>
      <w:pPr>
        <w:ind w:left="4380" w:hanging="360"/>
      </w:pPr>
      <w:rPr>
        <w:rFonts w:ascii="Wingdings" w:hAnsi="Wingdings" w:cs="Wingdings" w:hint="default"/>
        <w:rFonts w:cs="Wingdings"/>
      </w:rPr>
    </w:lvl>
    <w:lvl w:ilvl="6">
      <w:start w:val="1"/>
      <w:numFmt w:val="bullet"/>
      <w:lvlText w:val=""/>
      <w:lvlJc w:val="left"/>
      <w:pPr>
        <w:ind w:left="5100" w:hanging="360"/>
      </w:pPr>
      <w:rPr>
        <w:rFonts w:ascii="Symbol" w:hAnsi="Symbol" w:cs="Symbol" w:hint="default"/>
        <w:rFonts w:cs="Symbol"/>
      </w:rPr>
    </w:lvl>
    <w:lvl w:ilvl="7">
      <w:start w:val="1"/>
      <w:numFmt w:val="bullet"/>
      <w:lvlText w:val="o"/>
      <w:lvlJc w:val="left"/>
      <w:pPr>
        <w:ind w:left="5820" w:hanging="360"/>
      </w:pPr>
      <w:rPr>
        <w:rFonts w:ascii="Courier New" w:hAnsi="Courier New" w:cs="Courier New" w:hint="default"/>
        <w:rFonts w:cs="Courier New"/>
      </w:rPr>
    </w:lvl>
    <w:lvl w:ilvl="8">
      <w:start w:val="1"/>
      <w:numFmt w:val="bullet"/>
      <w:lvlText w:val=""/>
      <w:lvlJc w:val="left"/>
      <w:pPr>
        <w:ind w:left="654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5"/>
      <w:numFmt w:val="bullet"/>
      <w:lvlText w:val="•"/>
      <w:lvlJc w:val="left"/>
      <w:pPr>
        <w:ind w:left="1800" w:hanging="720"/>
      </w:pPr>
      <w:rPr>
        <w:rFonts w:ascii="Arial" w:hAnsi="Arial" w:cs="Arial" w:hint="default"/>
        <w:rFonts w:cs="Arial"/>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sz w:val="22"/>
        <w:b w:val="false"/>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9">
    <w:lvl w:ilvl="0">
      <w:start w:val="1"/>
      <w:numFmt w:val="bullet"/>
      <w:lvlText w:val=""/>
      <w:lvlJc w:val="left"/>
      <w:pPr>
        <w:ind w:left="720" w:hanging="360"/>
      </w:pPr>
      <w:rPr>
        <w:rFonts w:ascii="Symbol" w:hAnsi="Symbol" w:cs="Symbol" w:hint="default"/>
        <w:rFonts w:cs="Symbol"/>
      </w:rPr>
    </w:lvl>
    <w:lvl w:ilvl="1">
      <w:start w:val="1"/>
      <w:numFmt w:val="bullet"/>
      <w:lvlText w:val=""/>
      <w:lvlJc w:val="left"/>
      <w:pPr>
        <w:ind w:left="720" w:hanging="360"/>
      </w:pPr>
      <w:rPr>
        <w:rFonts w:ascii="Symbol" w:hAnsi="Symbol" w:cs="Symbol" w:hint="default"/>
        <w:rFonts w:cs="Symbol"/>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0">
    <w:lvl w:ilvl="0">
      <w:start w:val="1"/>
      <w:numFmt w:val="bullet"/>
      <w:lvlText w:val=""/>
      <w:lvlJc w:val="left"/>
      <w:pPr>
        <w:ind w:left="720" w:hanging="360"/>
      </w:pPr>
      <w:rPr>
        <w:rFonts w:ascii="Symbol" w:hAnsi="Symbol" w:cs="Symbol" w:hint="default"/>
        <w:rFonts w:cs="Symbol"/>
      </w:rPr>
    </w:lvl>
    <w:lvl w:ilvl="1">
      <w:start w:val="1"/>
      <w:numFmt w:val="bullet"/>
      <w:lvlText w:val=""/>
      <w:lvlJc w:val="left"/>
      <w:pPr>
        <w:ind w:left="1440" w:hanging="360"/>
      </w:pPr>
      <w:rPr>
        <w:rFonts w:ascii="Symbol" w:hAnsi="Symbol" w:cs="Symbol" w:hint="default"/>
        <w:rFonts w:cs="Symbol"/>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3">
    <w:lvl w:ilvl="0">
      <w:start w:val="1"/>
      <w:numFmt w:val="bullet"/>
      <w:lvlText w:val=""/>
      <w:lvlJc w:val="left"/>
      <w:pPr>
        <w:ind w:left="720" w:hanging="360"/>
      </w:pPr>
      <w:rPr>
        <w:rFonts w:ascii="Symbol" w:hAnsi="Symbol" w:cs="Symbol" w:hint="default"/>
        <w:rFonts w:cs="Symbol"/>
      </w:rPr>
    </w:lvl>
    <w:lvl w:ilvl="1">
      <w:start w:val="1"/>
      <w:numFmt w:val="bullet"/>
      <w:lvlText w:val=""/>
      <w:lvlJc w:val="left"/>
      <w:pPr>
        <w:ind w:left="720" w:hanging="360"/>
      </w:pPr>
      <w:rPr>
        <w:rFonts w:ascii="Symbol" w:hAnsi="Symbol" w:cs="Symbol" w:hint="default"/>
        <w:rFonts w:cs="Symbol"/>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4">
    <w:lvl w:ilvl="0">
      <w:start w:val="1"/>
      <w:numFmt w:val="bullet"/>
      <w:lvlText w:val=""/>
      <w:lvlJc w:val="left"/>
      <w:pPr>
        <w:ind w:left="720" w:hanging="360"/>
      </w:pPr>
      <w:rPr>
        <w:rFonts w:ascii="Symbol" w:hAnsi="Symbol" w:cs="Symbol" w:hint="default"/>
        <w:rFonts w:cs="Symbol"/>
      </w:rPr>
    </w:lvl>
    <w:lvl w:ilvl="1">
      <w:start w:val="1"/>
      <w:numFmt w:val="bullet"/>
      <w:lvlText w:val=""/>
      <w:lvlJc w:val="left"/>
      <w:pPr>
        <w:ind w:left="720" w:hanging="360"/>
      </w:pPr>
      <w:rPr>
        <w:rFonts w:ascii="Symbol" w:hAnsi="Symbol" w:cs="Symbol" w:hint="default"/>
        <w:rFonts w:cs="Symbol"/>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7">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8">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9">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ar-SA"/>
    </w:rPr>
  </w:style>
  <w:style w:type="paragraph" w:styleId="Heading6">
    <w:name w:val="Heading 6"/>
    <w:basedOn w:val="Normal"/>
    <w:next w:val="Normal"/>
    <w:qFormat/>
    <w:pPr>
      <w:numPr>
        <w:ilvl w:val="5"/>
        <w:numId w:val="1"/>
      </w:numPr>
      <w:spacing w:before="240" w:after="60"/>
      <w:outlineLvl w:val="5"/>
    </w:pPr>
    <w:rPr>
      <w:b/>
      <w:bCs/>
      <w:sz w:val="22"/>
      <w:szCs w:val="22"/>
    </w:rPr>
  </w:style>
  <w:style w:type="character" w:styleId="WW8Num1z0">
    <w:name w:val="WW8Num1z0"/>
    <w:qFormat/>
    <w:rPr>
      <w:rFonts w:ascii="Symbol" w:hAnsi="Symbol" w:cs="Symbol"/>
      <w:sz w:val="22"/>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Arial" w:hAnsi="Arial" w:cs="Arial"/>
    </w:rPr>
  </w:style>
  <w:style w:type="character" w:styleId="WW8Num4z2">
    <w:name w:val="WW8Num4z2"/>
    <w:qFormat/>
    <w:rPr>
      <w:rFonts w:ascii="Wingdings" w:hAnsi="Wingdings" w:cs="Wingdings"/>
    </w:rPr>
  </w:style>
  <w:style w:type="character" w:styleId="WW8Num4z4">
    <w:name w:val="WW8Num4z4"/>
    <w:qFormat/>
    <w:rPr>
      <w:rFonts w:ascii="Courier New" w:hAnsi="Courier New" w:cs="Courier New"/>
    </w:rPr>
  </w:style>
  <w:style w:type="character" w:styleId="WW8Num5z0">
    <w:name w:val="WW8Num5z0"/>
    <w:qFormat/>
    <w:rPr>
      <w:rFonts w:ascii="Symbol" w:hAnsi="Symbol" w:cs="Symbol"/>
    </w:rPr>
  </w:style>
  <w:style w:type="character" w:styleId="WW8Num5z1">
    <w:name w:val="WW8Num5z1"/>
    <w:qFormat/>
    <w:rPr>
      <w:rFonts w:ascii="Courier New" w:hAnsi="Courier New" w:cs="Courier New"/>
      <w:b w:val="false"/>
      <w:sz w:val="22"/>
    </w:rPr>
  </w:style>
  <w:style w:type="character" w:styleId="WW8Num5z2">
    <w:name w:val="WW8Num5z2"/>
    <w:qFormat/>
    <w:rPr>
      <w:rFonts w:ascii="Wingdings" w:hAnsi="Wingdings" w:cs="Wingdings"/>
    </w:rPr>
  </w:style>
  <w:style w:type="character" w:styleId="WW8Num5z4">
    <w:name w:val="WW8Num5z4"/>
    <w:qFormat/>
    <w:rPr>
      <w:rFonts w:ascii="Courier New" w:hAnsi="Courier New" w:cs="Courier New"/>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2">
    <w:name w:val="WW8Num8z2"/>
    <w:qFormat/>
    <w:rPr>
      <w:rFonts w:ascii="Wingdings" w:hAnsi="Wingdings" w:cs="Wingdings"/>
    </w:rPr>
  </w:style>
  <w:style w:type="character" w:styleId="WW8Num8z4">
    <w:name w:val="WW8Num8z4"/>
    <w:qFormat/>
    <w:rPr>
      <w:rFonts w:ascii="Courier New" w:hAnsi="Courier New" w:cs="Courier New"/>
    </w:rPr>
  </w:style>
  <w:style w:type="character" w:styleId="WW8Num9z0">
    <w:name w:val="WW8Num9z0"/>
    <w:qFormat/>
    <w:rPr>
      <w:rFonts w:ascii="Symbol" w:hAnsi="Symbol" w:cs="Symbol"/>
    </w:rPr>
  </w:style>
  <w:style w:type="character" w:styleId="WW8Num9z2">
    <w:name w:val="WW8Num9z2"/>
    <w:qFormat/>
    <w:rPr>
      <w:rFonts w:ascii="Wingdings" w:hAnsi="Wingdings" w:cs="Wingdings"/>
    </w:rPr>
  </w:style>
  <w:style w:type="character" w:styleId="WW8Num9z4">
    <w:name w:val="WW8Num9z4"/>
    <w:qFormat/>
    <w:rPr>
      <w:rFonts w:ascii="Courier New" w:hAnsi="Courier New" w:cs="Courier New"/>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2">
    <w:name w:val="WW8Num12z2"/>
    <w:qFormat/>
    <w:rPr>
      <w:rFonts w:ascii="Wingdings" w:hAnsi="Wingdings" w:cs="Wingdings"/>
    </w:rPr>
  </w:style>
  <w:style w:type="character" w:styleId="WW8Num12z4">
    <w:name w:val="WW8Num12z4"/>
    <w:qFormat/>
    <w:rPr>
      <w:rFonts w:ascii="Courier New" w:hAnsi="Courier New" w:cs="Courier New"/>
    </w:rPr>
  </w:style>
  <w:style w:type="character" w:styleId="WW8Num13z0">
    <w:name w:val="WW8Num13z0"/>
    <w:qFormat/>
    <w:rPr>
      <w:rFonts w:ascii="Symbol" w:hAnsi="Symbol" w:cs="Symbol"/>
    </w:rPr>
  </w:style>
  <w:style w:type="character" w:styleId="WW8Num13z2">
    <w:name w:val="WW8Num13z2"/>
    <w:qFormat/>
    <w:rPr>
      <w:rFonts w:ascii="Wingdings" w:hAnsi="Wingdings" w:cs="Wingdings"/>
    </w:rPr>
  </w:style>
  <w:style w:type="character" w:styleId="WW8Num13z4">
    <w:name w:val="WW8Num13z4"/>
    <w:qFormat/>
    <w:rPr>
      <w:rFonts w:ascii="Courier New" w:hAnsi="Courier New" w:cs="Courier New"/>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DefaultParagraphFont">
    <w:name w:val="Default Paragraph Font"/>
    <w:qFormat/>
    <w:rPr/>
  </w:style>
  <w:style w:type="character" w:styleId="FooterChar">
    <w:name w:val="Footer Char"/>
    <w:basedOn w:val="DefaultParagraphFont"/>
    <w:qFormat/>
    <w:rPr>
      <w:rFonts w:ascii="Times New Roman" w:hAnsi="Times New Roman" w:eastAsia="Times New Roman" w:cs="Times New Roman"/>
      <w:sz w:val="20"/>
      <w:szCs w:val="20"/>
    </w:rPr>
  </w:style>
  <w:style w:type="character" w:styleId="InternetLink">
    <w:name w:val="Internet Link"/>
    <w:rPr>
      <w:color w:val="0000FF"/>
      <w:u w:val="single"/>
    </w:rPr>
  </w:style>
  <w:style w:type="character" w:styleId="TitleChar">
    <w:name w:val="Title Char"/>
    <w:basedOn w:val="DefaultParagraphFont"/>
    <w:qFormat/>
    <w:rPr>
      <w:rFonts w:ascii="Tahoma" w:hAnsi="Tahoma" w:eastAsia="Times New Roman" w:cs="Times New Roman"/>
      <w:b/>
      <w:bCs/>
      <w:szCs w:val="24"/>
      <w:u w:val="single"/>
    </w:rPr>
  </w:style>
  <w:style w:type="character" w:styleId="Heading6Char">
    <w:name w:val="Heading 6 Char"/>
    <w:basedOn w:val="DefaultParagraphFont"/>
    <w:qFormat/>
    <w:rPr>
      <w:rFonts w:ascii="Times New Roman" w:hAnsi="Times New Roman" w:eastAsia="Times New Roman" w:cs="Times New Roman"/>
      <w:b/>
      <w:bCs/>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Times New Roman" w:cs="Times New Roman"/>
      <w:sz w:val="20"/>
      <w:szCs w:val="20"/>
    </w:rPr>
  </w:style>
  <w:style w:type="character" w:styleId="CommentSubjectChar">
    <w:name w:val="Comment Subject Char"/>
    <w:basedOn w:val="CommentTextChar"/>
    <w:qFormat/>
    <w:rPr>
      <w:rFonts w:ascii="Times New Roman" w:hAnsi="Times New Roman" w:eastAsia="Times New Roman" w:cs="Times New Roman"/>
      <w:b/>
      <w:bCs/>
      <w:sz w:val="20"/>
      <w:szCs w:val="20"/>
    </w:rPr>
  </w:style>
  <w:style w:type="character" w:styleId="BalloonTextChar">
    <w:name w:val="Balloon Text Char"/>
    <w:basedOn w:val="DefaultParagraphFont"/>
    <w:qFormat/>
    <w:rPr>
      <w:rFonts w:ascii="Segoe UI" w:hAnsi="Segoe UI" w:eastAsia="Times New Roman" w:cs="Segoe UI"/>
      <w:sz w:val="18"/>
      <w:szCs w:val="18"/>
    </w:rPr>
  </w:style>
  <w:style w:type="character" w:styleId="BodyTextChar">
    <w:name w:val="Body Text Char"/>
    <w:basedOn w:val="DefaultParagraphFont"/>
    <w:qFormat/>
    <w:rPr>
      <w:rFonts w:ascii="Arial" w:hAnsi="Arial" w:eastAsia="Times New Roman" w:cs="Times New Roman"/>
      <w:b/>
      <w:bCs/>
      <w:sz w:val="24"/>
      <w:szCs w:val="24"/>
    </w:rPr>
  </w:style>
  <w:style w:type="character" w:styleId="HeaderChar">
    <w:name w:val="Header Char"/>
    <w:basedOn w:val="DefaultParagraphFont"/>
    <w:qFormat/>
    <w:rPr>
      <w:rFonts w:ascii="Times New Roman" w:hAnsi="Times New Roman" w:eastAsia="Times New Roman" w:cs="Times New Roman"/>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Arial" w:hAnsi="Arial" w:cs="Arial"/>
      <w:b/>
      <w:bCs/>
      <w:sz w:val="24"/>
      <w:szCs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ListParagraph">
    <w:name w:val="List Paragraph"/>
    <w:basedOn w:val="Normal"/>
    <w:qFormat/>
    <w:pPr>
      <w:spacing w:lineRule="auto" w:line="276" w:before="0" w:after="200"/>
      <w:ind w:left="720" w:right="0" w:hanging="0"/>
      <w:contextualSpacing/>
    </w:pPr>
    <w:rPr>
      <w:rFonts w:ascii="Arial" w:hAnsi="Arial" w:eastAsia="Calibri" w:cs="Arial"/>
      <w:sz w:val="22"/>
      <w:szCs w:val="22"/>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0"/>
      <w:szCs w:val="22"/>
      <w:lang w:val="en-GB" w:eastAsia="en-US" w:bidi="ar-SA"/>
    </w:rPr>
  </w:style>
  <w:style w:type="paragraph" w:styleId="Title">
    <w:name w:val="Title"/>
    <w:basedOn w:val="Normal"/>
    <w:next w:val="TextBody"/>
    <w:qFormat/>
    <w:pPr>
      <w:jc w:val="center"/>
    </w:pPr>
    <w:rPr>
      <w:rFonts w:ascii="Tahoma" w:hAnsi="Tahoma" w:cs="Tahoma"/>
      <w:b/>
      <w:bCs/>
      <w:sz w:val="22"/>
      <w:szCs w:val="24"/>
      <w:u w:val="single"/>
    </w:rPr>
  </w:style>
  <w:style w:type="paragraph" w:styleId="Annotationtext">
    <w:name w:val="annotation text"/>
    <w:basedOn w:val="Normal"/>
    <w:qFormat/>
    <w:pPr/>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Segoe UI" w:hAnsi="Segoe UI" w:cs="Segoe UI"/>
      <w:sz w:val="18"/>
      <w:szCs w:val="18"/>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Header">
    <w:name w:val="Head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TMBC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2026-04-07T14:24:00Z</dcterms:created>
  <dc:creator>Bernadette Wilde</dc:creator>
  <dc:description/>
  <dc:language>en-US</dc:language>
  <cp:lastModifiedBy>Lewis Potter</cp:lastModifiedBy>
  <cp:lastPrinted>1995-11-21T17:41:00Z</cp:lastPrinted>
  <dcterms:modified xsi:type="dcterms:W3CDTF">2026-04-07T14:24:00Z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TMBC</vt:lpwstr>
  </property>
  <property fmtid="{D5CDD505-2E9C-101B-9397-08002B2CF9AE}" pid="4" name="ContentTypeId">
    <vt:lpwstr>0x01010006EFCC8470D16843A1D49377040B580A</vt:lpwstr>
  </property>
  <property fmtid="{D5CDD505-2E9C-101B-9397-08002B2CF9AE}" pid="5" name="DocSecurity">
    <vt:i4>4</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