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jpeg" ContentType="image/jpeg"/>
  <Override PartName="/word/media/image3.jpeg" ContentType="image/jpe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Arial" w:hAnsi="Arial" w:cs="Arial"/>
          <w:b/>
          <w:b/>
          <w:bCs/>
          <w:sz w:val="22"/>
          <w:szCs w:val="22"/>
          <w:u w:val="single"/>
        </w:rPr>
      </w:pPr>
      <w:r>
        <w:rPr>
          <w:rFonts w:cs="Arial" w:ascii="Arial" w:hAnsi="Arial"/>
          <w:b/>
          <w:bCs/>
          <w:sz w:val="22"/>
          <w:szCs w:val="22"/>
          <w:u w:val="single"/>
        </w:rPr>
        <w:t>Job Description and Person Specification Profile</w:t>
      </w:r>
    </w:p>
    <w:p>
      <w:pPr>
        <w:pStyle w:val="Normal"/>
        <w:jc w:val="center"/>
        <w:rPr>
          <w:rFonts w:ascii="Arial" w:hAnsi="Arial" w:cs="Arial"/>
          <w:b/>
          <w:b/>
          <w:bCs/>
          <w:sz w:val="22"/>
          <w:szCs w:val="22"/>
        </w:rPr>
      </w:pPr>
      <w:r>
        <w:rPr>
          <w:rFonts w:cs="Arial" w:ascii="Arial" w:hAnsi="Arial"/>
          <w:b/>
          <w:bCs/>
          <w:sz w:val="22"/>
          <w:szCs w:val="22"/>
        </w:rPr>
      </w:r>
    </w:p>
    <w:tbl>
      <w:tblPr>
        <w:tblW w:w="9606" w:type="dxa"/>
        <w:jc w:val="left"/>
        <w:tblInd w:w="0" w:type="dxa"/>
        <w:tblCellMar>
          <w:top w:w="0" w:type="dxa"/>
          <w:left w:w="108" w:type="dxa"/>
          <w:bottom w:w="0" w:type="dxa"/>
          <w:right w:w="108" w:type="dxa"/>
        </w:tblCellMar>
      </w:tblPr>
      <w:tblGrid>
        <w:gridCol w:w="1980"/>
        <w:gridCol w:w="7626"/>
      </w:tblGrid>
      <w:tr>
        <w:trPr/>
        <w:tc>
          <w:tcPr>
            <w:tcW w:w="1980" w:type="dxa"/>
            <w:tcBorders/>
            <w:shd w:fill="auto" w:val="clear"/>
          </w:tcPr>
          <w:p>
            <w:pPr>
              <w:pStyle w:val="Normal"/>
              <w:spacing w:lineRule="auto" w:line="240" w:before="0" w:after="0"/>
              <w:rPr>
                <w:rFonts w:ascii="Arial" w:hAnsi="Arial" w:cs="Arial"/>
                <w:b/>
                <w:b/>
                <w:bCs/>
                <w:sz w:val="22"/>
                <w:szCs w:val="22"/>
              </w:rPr>
            </w:pPr>
            <w:r>
              <w:rPr>
                <w:rFonts w:cs="Arial" w:ascii="Arial" w:hAnsi="Arial"/>
                <w:b/>
                <w:bCs/>
                <w:sz w:val="22"/>
                <w:szCs w:val="22"/>
              </w:rPr>
              <w:t>Job Title</w:t>
            </w:r>
          </w:p>
        </w:tc>
        <w:tc>
          <w:tcPr>
            <w:tcW w:w="7626" w:type="dxa"/>
            <w:tcBorders/>
            <w:shd w:fill="auto" w:val="clear"/>
          </w:tcPr>
          <w:p>
            <w:pPr>
              <w:pStyle w:val="Normal"/>
              <w:spacing w:lineRule="auto" w:line="240" w:before="0" w:after="0"/>
              <w:rPr/>
            </w:pPr>
            <w:r>
              <w:rPr>
                <w:rFonts w:eastAsia="Arial" w:cs="Arial" w:ascii="Arial" w:hAnsi="Arial"/>
                <w:sz w:val="22"/>
                <w:szCs w:val="22"/>
              </w:rPr>
              <w:t xml:space="preserve"> </w:t>
            </w:r>
            <w:r>
              <w:rPr>
                <w:rFonts w:cs="Arial" w:ascii="Arial" w:hAnsi="Arial"/>
                <w:sz w:val="22"/>
                <w:szCs w:val="22"/>
              </w:rPr>
              <w:t>Team Manager, Start Well</w:t>
            </w:r>
          </w:p>
        </w:tc>
      </w:tr>
      <w:tr>
        <w:trPr/>
        <w:tc>
          <w:tcPr>
            <w:tcW w:w="1980" w:type="dxa"/>
            <w:tcBorders/>
            <w:shd w:fill="auto" w:val="clear"/>
          </w:tcPr>
          <w:p>
            <w:pPr>
              <w:pStyle w:val="Normal"/>
              <w:spacing w:lineRule="auto" w:line="240" w:before="0" w:after="0"/>
              <w:rPr>
                <w:rFonts w:ascii="Arial" w:hAnsi="Arial" w:cs="Arial"/>
                <w:b/>
                <w:b/>
                <w:bCs/>
                <w:sz w:val="22"/>
                <w:szCs w:val="22"/>
              </w:rPr>
            </w:pPr>
            <w:r>
              <w:rPr>
                <w:rFonts w:cs="Arial" w:ascii="Arial" w:hAnsi="Arial"/>
                <w:b/>
                <w:bCs/>
                <w:sz w:val="22"/>
                <w:szCs w:val="22"/>
              </w:rPr>
              <w:t>Job ID</w:t>
            </w:r>
          </w:p>
        </w:tc>
        <w:tc>
          <w:tcPr>
            <w:tcW w:w="7626" w:type="dxa"/>
            <w:tcBorders/>
            <w:shd w:fill="auto" w:val="clear"/>
          </w:tcPr>
          <w:p>
            <w:pPr>
              <w:pStyle w:val="Normal"/>
              <w:snapToGrid w:val="false"/>
              <w:spacing w:lineRule="auto" w:line="240" w:before="0" w:after="0"/>
              <w:rPr>
                <w:rFonts w:ascii="Arial" w:hAnsi="Arial" w:cs="Arial"/>
                <w:sz w:val="22"/>
                <w:szCs w:val="22"/>
              </w:rPr>
            </w:pPr>
            <w:r>
              <w:rPr>
                <w:rFonts w:cs="Arial" w:ascii="Arial" w:hAnsi="Arial"/>
                <w:sz w:val="22"/>
                <w:szCs w:val="22"/>
              </w:rPr>
            </w:r>
          </w:p>
        </w:tc>
      </w:tr>
      <w:tr>
        <w:trPr/>
        <w:tc>
          <w:tcPr>
            <w:tcW w:w="1980" w:type="dxa"/>
            <w:tcBorders/>
            <w:shd w:fill="auto" w:val="clear"/>
          </w:tcPr>
          <w:p>
            <w:pPr>
              <w:pStyle w:val="Normal"/>
              <w:spacing w:lineRule="auto" w:line="240" w:before="0" w:after="0"/>
              <w:rPr>
                <w:rFonts w:ascii="Arial" w:hAnsi="Arial" w:cs="Arial"/>
                <w:b/>
                <w:b/>
                <w:bCs/>
                <w:sz w:val="22"/>
                <w:szCs w:val="22"/>
              </w:rPr>
            </w:pPr>
            <w:r>
              <w:rPr>
                <w:rFonts w:cs="Arial" w:ascii="Arial" w:hAnsi="Arial"/>
                <w:b/>
                <w:bCs/>
                <w:sz w:val="22"/>
                <w:szCs w:val="22"/>
              </w:rPr>
              <w:t>Service</w:t>
            </w:r>
          </w:p>
        </w:tc>
        <w:tc>
          <w:tcPr>
            <w:tcW w:w="7626" w:type="dxa"/>
            <w:tcBorders/>
            <w:shd w:fill="auto" w:val="clear"/>
          </w:tcPr>
          <w:p>
            <w:pPr>
              <w:pStyle w:val="Normal"/>
              <w:spacing w:lineRule="auto" w:line="240" w:before="0" w:after="0"/>
              <w:rPr/>
            </w:pPr>
            <w:r>
              <w:rPr>
                <w:rFonts w:eastAsia="Arial" w:cs="Arial" w:ascii="Arial" w:hAnsi="Arial"/>
                <w:sz w:val="22"/>
                <w:szCs w:val="22"/>
              </w:rPr>
              <w:t xml:space="preserve"> </w:t>
            </w:r>
            <w:r>
              <w:rPr>
                <w:rFonts w:cs="Arial" w:ascii="Arial" w:hAnsi="Arial"/>
                <w:sz w:val="22"/>
                <w:szCs w:val="22"/>
              </w:rPr>
              <w:t>Commissioning – Children’s</w:t>
            </w:r>
          </w:p>
        </w:tc>
      </w:tr>
      <w:tr>
        <w:trPr/>
        <w:tc>
          <w:tcPr>
            <w:tcW w:w="1980" w:type="dxa"/>
            <w:tcBorders/>
            <w:shd w:fill="auto" w:val="clear"/>
          </w:tcPr>
          <w:p>
            <w:pPr>
              <w:pStyle w:val="Normal"/>
              <w:spacing w:lineRule="auto" w:line="240" w:before="0" w:after="0"/>
              <w:rPr>
                <w:rFonts w:ascii="Arial" w:hAnsi="Arial" w:cs="Arial"/>
                <w:b/>
                <w:b/>
                <w:bCs/>
                <w:sz w:val="22"/>
                <w:szCs w:val="22"/>
              </w:rPr>
            </w:pPr>
            <w:r>
              <w:rPr>
                <w:rFonts w:cs="Arial" w:ascii="Arial" w:hAnsi="Arial"/>
                <w:b/>
                <w:bCs/>
                <w:sz w:val="22"/>
                <w:szCs w:val="22"/>
              </w:rPr>
              <w:t>Grade</w:t>
            </w:r>
          </w:p>
        </w:tc>
        <w:tc>
          <w:tcPr>
            <w:tcW w:w="7626" w:type="dxa"/>
            <w:tcBorders/>
            <w:shd w:fill="auto" w:val="clear"/>
          </w:tcPr>
          <w:p>
            <w:pPr>
              <w:pStyle w:val="Normal"/>
              <w:spacing w:lineRule="auto" w:line="240" w:before="0" w:after="0"/>
              <w:rPr/>
            </w:pPr>
            <w:r>
              <w:rPr>
                <w:rFonts w:eastAsia="Arial" w:cs="Arial" w:ascii="Arial" w:hAnsi="Arial"/>
                <w:sz w:val="22"/>
                <w:szCs w:val="22"/>
              </w:rPr>
              <w:t xml:space="preserve">  </w:t>
            </w:r>
            <w:r>
              <w:rPr>
                <w:rFonts w:cs="Arial" w:ascii="Arial" w:hAnsi="Arial"/>
                <w:sz w:val="22"/>
                <w:szCs w:val="22"/>
              </w:rPr>
              <w:t>J</w:t>
            </w:r>
          </w:p>
        </w:tc>
      </w:tr>
      <w:tr>
        <w:trPr/>
        <w:tc>
          <w:tcPr>
            <w:tcW w:w="1980" w:type="dxa"/>
            <w:tcBorders/>
            <w:shd w:fill="auto" w:val="clear"/>
          </w:tcPr>
          <w:p>
            <w:pPr>
              <w:pStyle w:val="Normal"/>
              <w:spacing w:lineRule="auto" w:line="240" w:before="0" w:after="0"/>
              <w:rPr>
                <w:rFonts w:ascii="Arial" w:hAnsi="Arial" w:cs="Arial"/>
                <w:b/>
                <w:b/>
                <w:bCs/>
                <w:sz w:val="22"/>
                <w:szCs w:val="22"/>
              </w:rPr>
            </w:pPr>
            <w:r>
              <w:rPr>
                <w:rFonts w:cs="Arial" w:ascii="Arial" w:hAnsi="Arial"/>
                <w:b/>
                <w:bCs/>
                <w:sz w:val="22"/>
                <w:szCs w:val="22"/>
              </w:rPr>
              <w:t>Reporting to</w:t>
            </w:r>
          </w:p>
        </w:tc>
        <w:tc>
          <w:tcPr>
            <w:tcW w:w="7626" w:type="dxa"/>
            <w:tcBorders/>
            <w:shd w:fill="auto" w:val="clear"/>
          </w:tcPr>
          <w:p>
            <w:pPr>
              <w:pStyle w:val="Normal"/>
              <w:spacing w:lineRule="auto" w:line="240" w:before="0" w:after="0"/>
              <w:rPr/>
            </w:pPr>
            <w:r>
              <w:rPr>
                <w:rFonts w:eastAsia="Arial" w:cs="Arial" w:ascii="Arial" w:hAnsi="Arial"/>
                <w:sz w:val="22"/>
                <w:szCs w:val="22"/>
              </w:rPr>
              <w:t xml:space="preserve"> </w:t>
            </w:r>
            <w:r>
              <w:rPr>
                <w:rFonts w:cs="Arial" w:ascii="Arial" w:hAnsi="Arial"/>
                <w:sz w:val="22"/>
                <w:szCs w:val="22"/>
              </w:rPr>
              <w:t>Head of Commissioning – Start Well</w:t>
            </w:r>
          </w:p>
          <w:p>
            <w:pPr>
              <w:pStyle w:val="Normal"/>
              <w:spacing w:lineRule="auto" w:line="240" w:before="0" w:after="0"/>
              <w:rPr>
                <w:rFonts w:ascii="Arial" w:hAnsi="Arial" w:cs="Arial"/>
                <w:sz w:val="22"/>
                <w:szCs w:val="22"/>
              </w:rPr>
            </w:pPr>
            <w:r>
              <w:rPr>
                <w:rFonts w:cs="Arial" w:ascii="Arial" w:hAnsi="Arial"/>
                <w:sz w:val="22"/>
                <w:szCs w:val="22"/>
              </w:rPr>
            </w:r>
          </w:p>
        </w:tc>
      </w:tr>
    </w:tbl>
    <w:p>
      <w:pPr>
        <w:pStyle w:val="Normal"/>
        <w:spacing w:lineRule="auto" w:line="276"/>
        <w:jc w:val="both"/>
        <w:rPr>
          <w:rFonts w:ascii="Arial" w:hAnsi="Arial" w:eastAsia="Calibri" w:cs="Arial"/>
          <w:b/>
          <w:b/>
          <w:sz w:val="22"/>
          <w:szCs w:val="22"/>
        </w:rPr>
      </w:pPr>
      <w:r>
        <w:rPr>
          <w:rFonts w:eastAsia="Calibri" w:cs="Arial" w:ascii="Arial" w:hAnsi="Arial"/>
          <w:b/>
          <w:sz w:val="22"/>
          <w:szCs w:val="22"/>
        </w:rPr>
      </w:r>
    </w:p>
    <w:tbl>
      <w:tblPr>
        <w:tblW w:w="9520" w:type="dxa"/>
        <w:jc w:val="left"/>
        <w:tblInd w:w="0" w:type="dxa"/>
        <w:tblCellMar>
          <w:top w:w="0" w:type="dxa"/>
          <w:left w:w="108" w:type="dxa"/>
          <w:bottom w:w="0" w:type="dxa"/>
          <w:right w:w="108" w:type="dxa"/>
        </w:tblCellMar>
      </w:tblPr>
      <w:tblGrid>
        <w:gridCol w:w="9520"/>
      </w:tblGrid>
      <w:tr>
        <w:trPr/>
        <w:tc>
          <w:tcPr>
            <w:tcW w:w="9520" w:type="dxa"/>
            <w:tcBorders>
              <w:top w:val="single" w:sz="18" w:space="0" w:color="7030A0"/>
              <w:left w:val="single" w:sz="18" w:space="0" w:color="7030A0"/>
              <w:bottom w:val="single" w:sz="18" w:space="0" w:color="7030A0"/>
              <w:right w:val="single" w:sz="18" w:space="0" w:color="7030A0"/>
            </w:tcBorders>
            <w:shd w:fill="FFE599" w:val="clear"/>
          </w:tcPr>
          <w:p>
            <w:pPr>
              <w:pStyle w:val="Normal"/>
              <w:spacing w:lineRule="auto" w:line="240" w:before="0" w:after="0"/>
              <w:rPr>
                <w:rFonts w:ascii="Arial" w:hAnsi="Arial" w:eastAsia="Calibri" w:cs="Arial"/>
                <w:b/>
                <w:b/>
                <w:sz w:val="22"/>
                <w:szCs w:val="22"/>
              </w:rPr>
            </w:pPr>
            <w:r>
              <w:rPr>
                <w:rFonts w:eastAsia="Calibri" w:cs="Arial" w:ascii="Arial" w:hAnsi="Arial"/>
                <w:b/>
                <w:sz w:val="22"/>
                <w:szCs w:val="22"/>
              </w:rPr>
              <w:t>The Role</w:t>
            </w:r>
          </w:p>
        </w:tc>
      </w:tr>
      <w:tr>
        <w:trPr>
          <w:trHeight w:val="3313" w:hRule="atLeast"/>
        </w:trPr>
        <w:tc>
          <w:tcPr>
            <w:tcW w:w="9520" w:type="dxa"/>
            <w:tcBorders>
              <w:top w:val="single" w:sz="18" w:space="0" w:color="7030A0"/>
              <w:left w:val="single" w:sz="18" w:space="0" w:color="7030A0"/>
              <w:bottom w:val="single" w:sz="18" w:space="0" w:color="7030A0"/>
              <w:right w:val="single" w:sz="18" w:space="0" w:color="7030A0"/>
            </w:tcBorders>
            <w:shd w:fill="auto" w:val="clear"/>
          </w:tcPr>
          <w:p>
            <w:pPr>
              <w:pStyle w:val="Normal"/>
              <w:spacing w:lineRule="auto" w:line="240" w:before="0" w:after="0"/>
              <w:rPr>
                <w:rFonts w:ascii="Arial" w:hAnsi="Arial" w:cs="Arial"/>
                <w:bCs/>
                <w:sz w:val="22"/>
                <w:szCs w:val="22"/>
              </w:rPr>
            </w:pPr>
            <w:r>
              <w:rPr>
                <w:rFonts w:cs="Arial" w:ascii="Arial" w:hAnsi="Arial"/>
                <w:bCs/>
                <w:sz w:val="22"/>
                <w:szCs w:val="22"/>
              </w:rPr>
              <w:t xml:space="preserve">The role of commissioning is to understand the population, their resources, needs, and aspirations, now and in the future. We plan with local people, and our organisational partners, to make the most effective use of local resources and develop solutions to meet needs and aspirations. We create an environment where we, local people, and organisational partners can deliver outcomes with consistency using the right skills and services in an appropriate vehicle. We support continuous improvement so we can be even more ambitious for our organisations and communities in the future. </w:t>
            </w:r>
          </w:p>
          <w:p>
            <w:pPr>
              <w:pStyle w:val="Normal"/>
              <w:spacing w:lineRule="auto" w:line="240" w:before="0" w:after="0"/>
              <w:rPr>
                <w:rFonts w:ascii="Arial" w:hAnsi="Arial" w:cs="Arial"/>
                <w:bCs/>
                <w:sz w:val="22"/>
                <w:szCs w:val="22"/>
              </w:rPr>
            </w:pPr>
            <w:r>
              <w:rPr>
                <w:rFonts w:cs="Arial" w:ascii="Arial" w:hAnsi="Arial"/>
                <w:bCs/>
                <w:sz w:val="22"/>
                <w:szCs w:val="22"/>
              </w:rPr>
            </w:r>
          </w:p>
          <w:p>
            <w:pPr>
              <w:pStyle w:val="Normal"/>
              <w:spacing w:lineRule="auto" w:line="240" w:before="0" w:after="0"/>
              <w:rPr>
                <w:rFonts w:ascii="Arial" w:hAnsi="Arial" w:cs="Arial"/>
                <w:bCs/>
                <w:sz w:val="22"/>
                <w:szCs w:val="22"/>
              </w:rPr>
            </w:pPr>
            <w:r>
              <w:rPr>
                <w:rFonts w:cs="Arial" w:ascii="Arial" w:hAnsi="Arial"/>
                <w:bCs/>
                <w:sz w:val="22"/>
                <w:szCs w:val="22"/>
              </w:rPr>
              <w:t>The role of the Team Manager, is key to ensuring we have good quality provision in the market and they contribute to the market shaping of the sector. This will in-turn support having the right provision within Tameside and a responsibility for the oversight and delivery of commissioning and contracts held in the children’s Services contract register.  The Team Manager will work closely with the Head of Commissioning to ensure the right support in the right place at the right time for our children and young people.</w:t>
            </w:r>
          </w:p>
          <w:p>
            <w:pPr>
              <w:pStyle w:val="Normal"/>
              <w:spacing w:lineRule="auto" w:line="240" w:before="120" w:after="0"/>
              <w:jc w:val="both"/>
              <w:rPr>
                <w:rFonts w:ascii="Arial" w:hAnsi="Arial" w:cs="Arial"/>
                <w:b/>
                <w:b/>
                <w:sz w:val="22"/>
                <w:szCs w:val="22"/>
              </w:rPr>
            </w:pPr>
            <w:r>
              <w:rPr>
                <w:rFonts w:cs="Arial" w:ascii="Arial" w:hAnsi="Arial"/>
                <w:b/>
                <w:sz w:val="22"/>
                <w:szCs w:val="22"/>
              </w:rPr>
              <w:t>Main Duties and Responsibilities include:</w:t>
            </w:r>
          </w:p>
          <w:p>
            <w:pPr>
              <w:pStyle w:val="TextBody"/>
              <w:spacing w:lineRule="auto" w:line="240" w:before="0" w:after="0"/>
              <w:rPr>
                <w:b w:val="false"/>
                <w:b w:val="false"/>
                <w:sz w:val="22"/>
                <w:szCs w:val="22"/>
              </w:rPr>
            </w:pPr>
            <w:r>
              <w:rPr>
                <w:b w:val="false"/>
                <w:sz w:val="22"/>
                <w:szCs w:val="22"/>
              </w:rPr>
            </w:r>
          </w:p>
          <w:p>
            <w:pPr>
              <w:pStyle w:val="TextBody"/>
              <w:numPr>
                <w:ilvl w:val="0"/>
                <w:numId w:val="5"/>
              </w:numPr>
              <w:spacing w:lineRule="auto" w:line="240" w:before="0" w:after="0"/>
              <w:rPr>
                <w:b w:val="false"/>
                <w:b w:val="false"/>
                <w:sz w:val="22"/>
                <w:szCs w:val="22"/>
              </w:rPr>
            </w:pPr>
            <w:r>
              <w:rPr>
                <w:b w:val="false"/>
                <w:sz w:val="22"/>
                <w:szCs w:val="22"/>
              </w:rPr>
              <w:t>To be responsible for the organisation, management and supervision of social care &amp; Education support services in which the Commissioning unit has responsibility for.</w:t>
            </w:r>
          </w:p>
          <w:p>
            <w:pPr>
              <w:pStyle w:val="TextBody"/>
              <w:spacing w:lineRule="auto" w:line="240" w:before="0" w:after="0"/>
              <w:ind w:left="720" w:right="0" w:hanging="0"/>
              <w:rPr>
                <w:b w:val="false"/>
                <w:b w:val="false"/>
                <w:sz w:val="22"/>
                <w:szCs w:val="22"/>
              </w:rPr>
            </w:pPr>
            <w:r>
              <w:rPr>
                <w:b w:val="false"/>
                <w:sz w:val="22"/>
                <w:szCs w:val="22"/>
              </w:rPr>
            </w:r>
          </w:p>
          <w:p>
            <w:pPr>
              <w:pStyle w:val="TextBody"/>
              <w:numPr>
                <w:ilvl w:val="0"/>
                <w:numId w:val="5"/>
              </w:numPr>
              <w:spacing w:lineRule="auto" w:line="240" w:before="0" w:after="0"/>
              <w:rPr>
                <w:b w:val="false"/>
                <w:b w:val="false"/>
                <w:sz w:val="22"/>
                <w:szCs w:val="22"/>
              </w:rPr>
            </w:pPr>
            <w:r>
              <w:rPr>
                <w:b w:val="false"/>
                <w:sz w:val="22"/>
                <w:szCs w:val="22"/>
              </w:rPr>
              <w:t>To contribute to overall strategic planning and management of the service and to the development of high-quality services</w:t>
            </w:r>
          </w:p>
          <w:p>
            <w:pPr>
              <w:pStyle w:val="TextBody"/>
              <w:spacing w:lineRule="auto" w:line="240" w:before="0" w:after="0"/>
              <w:ind w:left="720" w:right="0" w:hanging="0"/>
              <w:rPr>
                <w:b w:val="false"/>
                <w:b w:val="false"/>
                <w:sz w:val="22"/>
                <w:szCs w:val="22"/>
              </w:rPr>
            </w:pPr>
            <w:r>
              <w:rPr>
                <w:b w:val="false"/>
                <w:sz w:val="22"/>
                <w:szCs w:val="22"/>
              </w:rPr>
            </w:r>
          </w:p>
          <w:p>
            <w:pPr>
              <w:pStyle w:val="TextBody"/>
              <w:numPr>
                <w:ilvl w:val="0"/>
                <w:numId w:val="5"/>
              </w:numPr>
              <w:spacing w:lineRule="auto" w:line="240" w:before="0" w:after="0"/>
              <w:rPr>
                <w:b w:val="false"/>
                <w:b w:val="false"/>
                <w:sz w:val="22"/>
                <w:szCs w:val="22"/>
              </w:rPr>
            </w:pPr>
            <w:r>
              <w:rPr>
                <w:b w:val="false"/>
                <w:sz w:val="22"/>
                <w:szCs w:val="22"/>
              </w:rPr>
              <w:t>To lead the team ensuring that the functions of the Unit are carried out effectively and in accordance with legislation, regulations, guidance, standards and local procedures and priorities.</w:t>
            </w:r>
          </w:p>
          <w:p>
            <w:pPr>
              <w:pStyle w:val="TextBody"/>
              <w:spacing w:lineRule="auto" w:line="240" w:before="0" w:after="0"/>
              <w:ind w:left="720" w:right="0" w:hanging="0"/>
              <w:rPr>
                <w:b w:val="false"/>
                <w:b w:val="false"/>
                <w:sz w:val="22"/>
                <w:szCs w:val="22"/>
              </w:rPr>
            </w:pPr>
            <w:r>
              <w:rPr>
                <w:b w:val="false"/>
                <w:sz w:val="22"/>
                <w:szCs w:val="22"/>
              </w:rPr>
            </w:r>
          </w:p>
          <w:p>
            <w:pPr>
              <w:pStyle w:val="TextBody"/>
              <w:numPr>
                <w:ilvl w:val="0"/>
                <w:numId w:val="5"/>
              </w:numPr>
              <w:spacing w:lineRule="auto" w:line="240" w:before="0" w:after="0"/>
              <w:rPr>
                <w:b w:val="false"/>
                <w:b w:val="false"/>
                <w:sz w:val="22"/>
                <w:szCs w:val="22"/>
              </w:rPr>
            </w:pPr>
            <w:r>
              <w:rPr>
                <w:b w:val="false"/>
                <w:sz w:val="22"/>
                <w:szCs w:val="22"/>
              </w:rPr>
              <w:t>To continually improve services in the light of service user views, performance data and stakeholder feedback in accordance with Best Value principles</w:t>
            </w:r>
          </w:p>
          <w:p>
            <w:pPr>
              <w:pStyle w:val="TextBody"/>
              <w:spacing w:lineRule="auto" w:line="240" w:before="0" w:after="0"/>
              <w:rPr>
                <w:b w:val="false"/>
                <w:b w:val="false"/>
                <w:sz w:val="22"/>
                <w:szCs w:val="22"/>
              </w:rPr>
            </w:pPr>
            <w:r>
              <w:rPr>
                <w:b w:val="false"/>
                <w:sz w:val="22"/>
                <w:szCs w:val="22"/>
              </w:rPr>
            </w:r>
          </w:p>
          <w:p>
            <w:pPr>
              <w:pStyle w:val="TextBody"/>
              <w:numPr>
                <w:ilvl w:val="0"/>
                <w:numId w:val="5"/>
              </w:numPr>
              <w:spacing w:lineRule="auto" w:line="240" w:before="0" w:after="0"/>
              <w:rPr>
                <w:b w:val="false"/>
                <w:b w:val="false"/>
                <w:sz w:val="22"/>
                <w:szCs w:val="22"/>
              </w:rPr>
            </w:pPr>
            <w:r>
              <w:rPr>
                <w:b w:val="false"/>
                <w:sz w:val="22"/>
                <w:szCs w:val="22"/>
              </w:rPr>
              <w:t>Responsibility for ensuring that work is undertaken to meet agreed standards.</w:t>
            </w:r>
          </w:p>
          <w:p>
            <w:pPr>
              <w:pStyle w:val="TextBody"/>
              <w:spacing w:lineRule="auto" w:line="240" w:before="0" w:after="0"/>
              <w:ind w:left="720" w:right="0" w:hanging="0"/>
              <w:rPr>
                <w:b w:val="false"/>
                <w:b w:val="false"/>
                <w:sz w:val="22"/>
                <w:szCs w:val="22"/>
              </w:rPr>
            </w:pPr>
            <w:r>
              <w:rPr>
                <w:b w:val="false"/>
                <w:sz w:val="22"/>
                <w:szCs w:val="22"/>
              </w:rPr>
            </w:r>
          </w:p>
          <w:p>
            <w:pPr>
              <w:pStyle w:val="TextBody"/>
              <w:numPr>
                <w:ilvl w:val="0"/>
                <w:numId w:val="5"/>
              </w:numPr>
              <w:spacing w:lineRule="auto" w:line="240" w:before="0" w:after="0"/>
              <w:rPr>
                <w:b w:val="false"/>
                <w:b w:val="false"/>
                <w:sz w:val="22"/>
                <w:szCs w:val="22"/>
              </w:rPr>
            </w:pPr>
            <w:r>
              <w:rPr>
                <w:b w:val="false"/>
                <w:sz w:val="22"/>
                <w:szCs w:val="22"/>
              </w:rPr>
              <w:t>Establish, sustain and develop a quality audit system within the Team to ensure that the Team delivers services to the required standards and specifications.</w:t>
            </w:r>
          </w:p>
          <w:p>
            <w:pPr>
              <w:pStyle w:val="TextBody"/>
              <w:spacing w:lineRule="auto" w:line="240" w:before="0" w:after="0"/>
              <w:ind w:left="720" w:right="0" w:hanging="0"/>
              <w:rPr>
                <w:b w:val="false"/>
                <w:b w:val="false"/>
                <w:sz w:val="22"/>
                <w:szCs w:val="22"/>
              </w:rPr>
            </w:pPr>
            <w:r>
              <w:rPr>
                <w:b w:val="false"/>
                <w:sz w:val="22"/>
                <w:szCs w:val="22"/>
              </w:rPr>
            </w:r>
          </w:p>
          <w:p>
            <w:pPr>
              <w:pStyle w:val="TextBody"/>
              <w:numPr>
                <w:ilvl w:val="0"/>
                <w:numId w:val="5"/>
              </w:numPr>
              <w:spacing w:lineRule="auto" w:line="240" w:before="0" w:after="0"/>
              <w:rPr>
                <w:b w:val="false"/>
                <w:b w:val="false"/>
                <w:sz w:val="22"/>
                <w:szCs w:val="22"/>
              </w:rPr>
            </w:pPr>
            <w:r>
              <w:rPr>
                <w:b w:val="false"/>
                <w:sz w:val="22"/>
                <w:szCs w:val="22"/>
              </w:rPr>
              <w:t>Contribute to the management of quality in the Business Unit.</w:t>
            </w:r>
          </w:p>
          <w:p>
            <w:pPr>
              <w:pStyle w:val="TextBody"/>
              <w:spacing w:lineRule="auto" w:line="240" w:before="0" w:after="0"/>
              <w:ind w:left="720" w:right="0" w:hanging="0"/>
              <w:rPr>
                <w:b w:val="false"/>
                <w:b w:val="false"/>
                <w:sz w:val="22"/>
                <w:szCs w:val="22"/>
              </w:rPr>
            </w:pPr>
            <w:r>
              <w:rPr>
                <w:b w:val="false"/>
                <w:sz w:val="22"/>
                <w:szCs w:val="22"/>
              </w:rPr>
            </w:r>
          </w:p>
          <w:p>
            <w:pPr>
              <w:pStyle w:val="TextBody"/>
              <w:numPr>
                <w:ilvl w:val="0"/>
                <w:numId w:val="5"/>
              </w:numPr>
              <w:spacing w:lineRule="auto" w:line="240" w:before="0" w:after="0"/>
              <w:rPr>
                <w:b w:val="false"/>
                <w:b w:val="false"/>
                <w:sz w:val="22"/>
                <w:szCs w:val="22"/>
              </w:rPr>
            </w:pPr>
            <w:r>
              <w:rPr>
                <w:b w:val="false"/>
                <w:sz w:val="22"/>
                <w:szCs w:val="22"/>
              </w:rPr>
              <w:t>Manage the performance of the Team, setting individual and team targets.</w:t>
            </w:r>
          </w:p>
          <w:p>
            <w:pPr>
              <w:pStyle w:val="TextBody"/>
              <w:spacing w:lineRule="auto" w:line="240" w:before="0" w:after="0"/>
              <w:ind w:left="720" w:right="0" w:hanging="0"/>
              <w:rPr>
                <w:b w:val="false"/>
                <w:b w:val="false"/>
                <w:sz w:val="22"/>
                <w:szCs w:val="22"/>
              </w:rPr>
            </w:pPr>
            <w:r>
              <w:rPr>
                <w:b w:val="false"/>
                <w:sz w:val="22"/>
                <w:szCs w:val="22"/>
              </w:rPr>
            </w:r>
          </w:p>
          <w:p>
            <w:pPr>
              <w:pStyle w:val="TextBody"/>
              <w:numPr>
                <w:ilvl w:val="0"/>
                <w:numId w:val="5"/>
              </w:numPr>
              <w:spacing w:lineRule="auto" w:line="240" w:before="0" w:after="0"/>
              <w:rPr>
                <w:b w:val="false"/>
                <w:b w:val="false"/>
                <w:sz w:val="22"/>
                <w:szCs w:val="22"/>
              </w:rPr>
            </w:pPr>
            <w:r>
              <w:rPr>
                <w:b w:val="false"/>
                <w:sz w:val="22"/>
                <w:szCs w:val="22"/>
              </w:rPr>
              <w:t>Responsibility for ensuing effective use of project management techniques, where appropriate.</w:t>
            </w:r>
          </w:p>
          <w:p>
            <w:pPr>
              <w:pStyle w:val="TextBody"/>
              <w:spacing w:lineRule="auto" w:line="240" w:before="0" w:after="0"/>
              <w:rPr>
                <w:b w:val="false"/>
                <w:b w:val="false"/>
                <w:sz w:val="22"/>
                <w:szCs w:val="22"/>
              </w:rPr>
            </w:pPr>
            <w:r>
              <w:rPr>
                <w:b w:val="false"/>
                <w:sz w:val="22"/>
                <w:szCs w:val="22"/>
              </w:rPr>
            </w:r>
          </w:p>
          <w:p>
            <w:pPr>
              <w:pStyle w:val="TextBody"/>
              <w:numPr>
                <w:ilvl w:val="0"/>
                <w:numId w:val="5"/>
              </w:numPr>
              <w:spacing w:lineRule="auto" w:line="240" w:before="0" w:after="0"/>
              <w:rPr>
                <w:b w:val="false"/>
                <w:b w:val="false"/>
                <w:sz w:val="22"/>
                <w:szCs w:val="22"/>
              </w:rPr>
            </w:pPr>
            <w:r>
              <w:rPr>
                <w:b w:val="false"/>
                <w:sz w:val="22"/>
                <w:szCs w:val="22"/>
              </w:rPr>
              <w:t>To manage the Team in line with Departmental policy, procedures and guidelines.</w:t>
            </w:r>
          </w:p>
          <w:p>
            <w:pPr>
              <w:pStyle w:val="TextBody"/>
              <w:spacing w:lineRule="auto" w:line="240" w:before="0" w:after="0"/>
              <w:ind w:left="720" w:right="0" w:hanging="0"/>
              <w:rPr>
                <w:b w:val="false"/>
                <w:b w:val="false"/>
                <w:sz w:val="22"/>
                <w:szCs w:val="22"/>
              </w:rPr>
            </w:pPr>
            <w:r>
              <w:rPr>
                <w:b w:val="false"/>
                <w:sz w:val="22"/>
                <w:szCs w:val="22"/>
              </w:rPr>
            </w:r>
          </w:p>
          <w:p>
            <w:pPr>
              <w:pStyle w:val="TextBody"/>
              <w:numPr>
                <w:ilvl w:val="0"/>
                <w:numId w:val="5"/>
              </w:numPr>
              <w:spacing w:lineRule="auto" w:line="240" w:before="0" w:after="0"/>
              <w:rPr>
                <w:b w:val="false"/>
                <w:b w:val="false"/>
                <w:sz w:val="22"/>
                <w:szCs w:val="22"/>
              </w:rPr>
            </w:pPr>
            <w:r>
              <w:rPr>
                <w:b w:val="false"/>
                <w:sz w:val="22"/>
                <w:szCs w:val="22"/>
              </w:rPr>
              <w:t>To work jointly with the Admin Manager to manage the Administrative staff in the team.</w:t>
            </w:r>
          </w:p>
          <w:p>
            <w:pPr>
              <w:pStyle w:val="TextBody"/>
              <w:spacing w:lineRule="auto" w:line="240" w:before="0" w:after="0"/>
              <w:ind w:left="720" w:right="0" w:hanging="0"/>
              <w:rPr>
                <w:b w:val="false"/>
                <w:b w:val="false"/>
                <w:sz w:val="22"/>
                <w:szCs w:val="22"/>
              </w:rPr>
            </w:pPr>
            <w:r>
              <w:rPr>
                <w:b w:val="false"/>
                <w:sz w:val="22"/>
                <w:szCs w:val="22"/>
              </w:rPr>
            </w:r>
          </w:p>
          <w:p>
            <w:pPr>
              <w:pStyle w:val="TextBody"/>
              <w:numPr>
                <w:ilvl w:val="0"/>
                <w:numId w:val="5"/>
              </w:numPr>
              <w:spacing w:lineRule="auto" w:line="240" w:before="0" w:after="0"/>
              <w:rPr>
                <w:b w:val="false"/>
                <w:b w:val="false"/>
                <w:sz w:val="22"/>
                <w:szCs w:val="22"/>
              </w:rPr>
            </w:pPr>
            <w:r>
              <w:rPr>
                <w:b w:val="false"/>
                <w:sz w:val="22"/>
                <w:szCs w:val="22"/>
              </w:rPr>
              <w:t>To implement the Department's Supervision Policy.</w:t>
            </w:r>
          </w:p>
          <w:p>
            <w:pPr>
              <w:pStyle w:val="TextBody"/>
              <w:spacing w:lineRule="auto" w:line="240" w:before="0" w:after="0"/>
              <w:ind w:left="720" w:right="0" w:hanging="0"/>
              <w:rPr>
                <w:b w:val="false"/>
                <w:b w:val="false"/>
                <w:sz w:val="22"/>
                <w:szCs w:val="22"/>
              </w:rPr>
            </w:pPr>
            <w:r>
              <w:rPr>
                <w:b w:val="false"/>
                <w:sz w:val="22"/>
                <w:szCs w:val="22"/>
              </w:rPr>
            </w:r>
          </w:p>
          <w:p>
            <w:pPr>
              <w:pStyle w:val="TextBody"/>
              <w:numPr>
                <w:ilvl w:val="0"/>
                <w:numId w:val="5"/>
              </w:numPr>
              <w:spacing w:lineRule="auto" w:line="240" w:before="0" w:after="0"/>
              <w:rPr>
                <w:b w:val="false"/>
                <w:b w:val="false"/>
                <w:sz w:val="22"/>
                <w:szCs w:val="22"/>
              </w:rPr>
            </w:pPr>
            <w:r>
              <w:rPr>
                <w:b w:val="false"/>
                <w:sz w:val="22"/>
                <w:szCs w:val="22"/>
              </w:rPr>
              <w:t>Adhere to the Social Services' Human Resource Guidelines for Managers, with particular reference to:</w:t>
            </w:r>
          </w:p>
          <w:p>
            <w:pPr>
              <w:pStyle w:val="TextBody"/>
              <w:spacing w:lineRule="auto" w:line="240" w:before="0" w:after="0"/>
              <w:ind w:left="720" w:right="0" w:hanging="0"/>
              <w:rPr>
                <w:b w:val="false"/>
                <w:b w:val="false"/>
                <w:sz w:val="22"/>
                <w:szCs w:val="22"/>
              </w:rPr>
            </w:pPr>
            <w:r>
              <w:rPr>
                <w:b w:val="false"/>
                <w:sz w:val="22"/>
                <w:szCs w:val="22"/>
              </w:rPr>
            </w:r>
          </w:p>
          <w:p>
            <w:pPr>
              <w:pStyle w:val="TextBody"/>
              <w:numPr>
                <w:ilvl w:val="0"/>
                <w:numId w:val="5"/>
              </w:numPr>
              <w:spacing w:lineRule="auto" w:line="240" w:before="0" w:after="0"/>
              <w:rPr>
                <w:b w:val="false"/>
                <w:b w:val="false"/>
                <w:sz w:val="22"/>
                <w:szCs w:val="22"/>
              </w:rPr>
            </w:pPr>
            <w:r>
              <w:rPr>
                <w:b w:val="false"/>
                <w:sz w:val="22"/>
                <w:szCs w:val="22"/>
              </w:rPr>
              <w:t>(a)</w:t>
              <w:tab/>
              <w:t>Recruitment and Selection</w:t>
            </w:r>
          </w:p>
          <w:p>
            <w:pPr>
              <w:pStyle w:val="TextBody"/>
              <w:spacing w:lineRule="auto" w:line="240" w:before="0" w:after="0"/>
              <w:ind w:left="720" w:right="0" w:hanging="0"/>
              <w:rPr>
                <w:b w:val="false"/>
                <w:b w:val="false"/>
                <w:sz w:val="22"/>
                <w:szCs w:val="22"/>
              </w:rPr>
            </w:pPr>
            <w:r>
              <w:rPr>
                <w:b w:val="false"/>
                <w:sz w:val="22"/>
                <w:szCs w:val="22"/>
              </w:rPr>
            </w:r>
          </w:p>
          <w:p>
            <w:pPr>
              <w:pStyle w:val="TextBody"/>
              <w:numPr>
                <w:ilvl w:val="0"/>
                <w:numId w:val="5"/>
              </w:numPr>
              <w:spacing w:lineRule="auto" w:line="240" w:before="0" w:after="0"/>
              <w:rPr>
                <w:b w:val="false"/>
                <w:b w:val="false"/>
                <w:sz w:val="22"/>
                <w:szCs w:val="22"/>
              </w:rPr>
            </w:pPr>
            <w:r>
              <w:rPr>
                <w:b w:val="false"/>
                <w:sz w:val="22"/>
                <w:szCs w:val="22"/>
              </w:rPr>
              <w:t>(b)</w:t>
              <w:tab/>
              <w:t>Disciplinary/Grievance/Capability Procedures</w:t>
            </w:r>
          </w:p>
          <w:p>
            <w:pPr>
              <w:pStyle w:val="TextBody"/>
              <w:spacing w:lineRule="auto" w:line="240" w:before="0" w:after="0"/>
              <w:ind w:left="720" w:right="0" w:hanging="0"/>
              <w:rPr>
                <w:b w:val="false"/>
                <w:b w:val="false"/>
                <w:sz w:val="22"/>
                <w:szCs w:val="22"/>
              </w:rPr>
            </w:pPr>
            <w:r>
              <w:rPr>
                <w:b w:val="false"/>
                <w:sz w:val="22"/>
                <w:szCs w:val="22"/>
              </w:rPr>
            </w:r>
          </w:p>
          <w:p>
            <w:pPr>
              <w:pStyle w:val="TextBody"/>
              <w:numPr>
                <w:ilvl w:val="0"/>
                <w:numId w:val="5"/>
              </w:numPr>
              <w:spacing w:lineRule="auto" w:line="240" w:before="0" w:after="0"/>
              <w:rPr>
                <w:b w:val="false"/>
                <w:b w:val="false"/>
                <w:sz w:val="22"/>
                <w:szCs w:val="22"/>
              </w:rPr>
            </w:pPr>
            <w:r>
              <w:rPr>
                <w:b w:val="false"/>
                <w:sz w:val="22"/>
                <w:szCs w:val="22"/>
              </w:rPr>
              <w:t>(c)</w:t>
              <w:tab/>
              <w:t>Equal opportunities Employment Code of Practice</w:t>
            </w:r>
          </w:p>
          <w:p>
            <w:pPr>
              <w:pStyle w:val="TextBody"/>
              <w:spacing w:lineRule="auto" w:line="240" w:before="0" w:after="0"/>
              <w:ind w:left="720" w:right="0" w:hanging="0"/>
              <w:rPr>
                <w:b w:val="false"/>
                <w:b w:val="false"/>
                <w:sz w:val="22"/>
                <w:szCs w:val="22"/>
              </w:rPr>
            </w:pPr>
            <w:r>
              <w:rPr>
                <w:b w:val="false"/>
                <w:sz w:val="22"/>
                <w:szCs w:val="22"/>
              </w:rPr>
            </w:r>
          </w:p>
          <w:p>
            <w:pPr>
              <w:pStyle w:val="TextBody"/>
              <w:numPr>
                <w:ilvl w:val="0"/>
                <w:numId w:val="5"/>
              </w:numPr>
              <w:spacing w:lineRule="auto" w:line="240" w:before="0" w:after="0"/>
              <w:rPr>
                <w:b w:val="false"/>
                <w:b w:val="false"/>
                <w:sz w:val="22"/>
                <w:szCs w:val="22"/>
              </w:rPr>
            </w:pPr>
            <w:r>
              <w:rPr>
                <w:b w:val="false"/>
                <w:sz w:val="22"/>
                <w:szCs w:val="22"/>
              </w:rPr>
              <w:t>(d)</w:t>
              <w:tab/>
              <w:t>Attendance issues, ie Annual Leave, Flexi Leave, Sickness Absence, Compassionate/Special Leave, Flexible working, Maternity Provision.</w:t>
            </w:r>
          </w:p>
          <w:p>
            <w:pPr>
              <w:pStyle w:val="TextBody"/>
              <w:spacing w:lineRule="auto" w:line="240" w:before="0" w:after="0"/>
              <w:ind w:left="720" w:right="0" w:hanging="0"/>
              <w:rPr>
                <w:b w:val="false"/>
                <w:b w:val="false"/>
                <w:sz w:val="22"/>
                <w:szCs w:val="22"/>
              </w:rPr>
            </w:pPr>
            <w:r>
              <w:rPr>
                <w:b w:val="false"/>
                <w:sz w:val="22"/>
                <w:szCs w:val="22"/>
              </w:rPr>
            </w:r>
          </w:p>
          <w:p>
            <w:pPr>
              <w:pStyle w:val="TextBody"/>
              <w:numPr>
                <w:ilvl w:val="0"/>
                <w:numId w:val="5"/>
              </w:numPr>
              <w:spacing w:lineRule="auto" w:line="240" w:before="0" w:after="0"/>
              <w:rPr>
                <w:b w:val="false"/>
                <w:b w:val="false"/>
                <w:sz w:val="22"/>
                <w:szCs w:val="22"/>
              </w:rPr>
            </w:pPr>
            <w:r>
              <w:rPr>
                <w:b w:val="false"/>
                <w:sz w:val="22"/>
                <w:szCs w:val="22"/>
              </w:rPr>
              <w:t>(e)</w:t>
              <w:tab/>
              <w:t>Exit interviews</w:t>
            </w:r>
          </w:p>
          <w:p>
            <w:pPr>
              <w:pStyle w:val="TextBody"/>
              <w:spacing w:lineRule="auto" w:line="240" w:before="0" w:after="0"/>
              <w:ind w:left="720" w:right="0" w:hanging="0"/>
              <w:rPr>
                <w:b w:val="false"/>
                <w:b w:val="false"/>
                <w:sz w:val="22"/>
                <w:szCs w:val="22"/>
              </w:rPr>
            </w:pPr>
            <w:r>
              <w:rPr>
                <w:b w:val="false"/>
                <w:sz w:val="22"/>
                <w:szCs w:val="22"/>
              </w:rPr>
            </w:r>
          </w:p>
          <w:p>
            <w:pPr>
              <w:pStyle w:val="TextBody"/>
              <w:numPr>
                <w:ilvl w:val="0"/>
                <w:numId w:val="5"/>
              </w:numPr>
              <w:spacing w:lineRule="auto" w:line="240" w:before="0" w:after="0"/>
              <w:rPr>
                <w:b w:val="false"/>
                <w:b w:val="false"/>
                <w:sz w:val="22"/>
                <w:szCs w:val="22"/>
              </w:rPr>
            </w:pPr>
            <w:r>
              <w:rPr>
                <w:b w:val="false"/>
                <w:sz w:val="22"/>
                <w:szCs w:val="22"/>
              </w:rPr>
              <w:t>Address issues concerning staff welfare in accordance with Social Services Practice and Staff Care Policies or Primary Care Trust guidance.</w:t>
            </w:r>
          </w:p>
          <w:p>
            <w:pPr>
              <w:pStyle w:val="TextBody"/>
              <w:spacing w:lineRule="auto" w:line="240" w:before="0" w:after="0"/>
              <w:ind w:left="720" w:right="0" w:hanging="0"/>
              <w:rPr>
                <w:b w:val="false"/>
                <w:b w:val="false"/>
                <w:sz w:val="22"/>
                <w:szCs w:val="22"/>
              </w:rPr>
            </w:pPr>
            <w:r>
              <w:rPr>
                <w:b w:val="false"/>
                <w:sz w:val="22"/>
                <w:szCs w:val="22"/>
              </w:rPr>
            </w:r>
          </w:p>
          <w:p>
            <w:pPr>
              <w:pStyle w:val="TextBody"/>
              <w:numPr>
                <w:ilvl w:val="0"/>
                <w:numId w:val="5"/>
              </w:numPr>
              <w:spacing w:lineRule="auto" w:line="240" w:before="0" w:after="0"/>
              <w:rPr>
                <w:b w:val="false"/>
                <w:b w:val="false"/>
                <w:sz w:val="22"/>
                <w:szCs w:val="22"/>
              </w:rPr>
            </w:pPr>
            <w:r>
              <w:rPr>
                <w:b w:val="false"/>
                <w:sz w:val="22"/>
                <w:szCs w:val="22"/>
              </w:rPr>
              <w:t>Comply with the Authority's Health and Safety Regulations.</w:t>
            </w:r>
          </w:p>
          <w:p>
            <w:pPr>
              <w:pStyle w:val="TextBody"/>
              <w:spacing w:lineRule="auto" w:line="240" w:before="0" w:after="0"/>
              <w:ind w:left="720" w:right="0" w:hanging="0"/>
              <w:rPr>
                <w:b w:val="false"/>
                <w:b w:val="false"/>
                <w:sz w:val="22"/>
                <w:szCs w:val="22"/>
              </w:rPr>
            </w:pPr>
            <w:r>
              <w:rPr>
                <w:b w:val="false"/>
                <w:sz w:val="22"/>
                <w:szCs w:val="22"/>
              </w:rPr>
            </w:r>
          </w:p>
          <w:p>
            <w:pPr>
              <w:pStyle w:val="TextBody"/>
              <w:numPr>
                <w:ilvl w:val="0"/>
                <w:numId w:val="5"/>
              </w:numPr>
              <w:spacing w:lineRule="auto" w:line="240" w:before="0" w:after="0"/>
              <w:rPr>
                <w:b w:val="false"/>
                <w:b w:val="false"/>
                <w:sz w:val="22"/>
                <w:szCs w:val="22"/>
              </w:rPr>
            </w:pPr>
            <w:r>
              <w:rPr>
                <w:b w:val="false"/>
                <w:sz w:val="22"/>
                <w:szCs w:val="22"/>
              </w:rPr>
              <w:t>Ensure induction of new staff joining the team as per Social Services</w:t>
            </w:r>
          </w:p>
          <w:p>
            <w:pPr>
              <w:pStyle w:val="TextBody"/>
              <w:spacing w:lineRule="auto" w:line="240" w:before="0" w:after="0"/>
              <w:ind w:left="720" w:right="0" w:hanging="0"/>
              <w:rPr>
                <w:b w:val="false"/>
                <w:b w:val="false"/>
                <w:sz w:val="22"/>
                <w:szCs w:val="22"/>
              </w:rPr>
            </w:pPr>
            <w:r>
              <w:rPr>
                <w:b w:val="false"/>
                <w:sz w:val="22"/>
                <w:szCs w:val="22"/>
              </w:rPr>
            </w:r>
          </w:p>
          <w:p>
            <w:pPr>
              <w:pStyle w:val="TextBody"/>
              <w:numPr>
                <w:ilvl w:val="0"/>
                <w:numId w:val="5"/>
              </w:numPr>
              <w:spacing w:lineRule="auto" w:line="240" w:before="0" w:after="0"/>
              <w:rPr>
                <w:b w:val="false"/>
                <w:b w:val="false"/>
                <w:sz w:val="22"/>
                <w:szCs w:val="22"/>
              </w:rPr>
            </w:pPr>
            <w:r>
              <w:rPr>
                <w:b w:val="false"/>
                <w:sz w:val="22"/>
                <w:szCs w:val="22"/>
              </w:rPr>
              <w:t>Ensure that the training and developmental needs of staff within the Team are evaluated and actioned in accordance with the authority's employee Development Review Scheme, and Departmental Training Strategy in accordance with Tameside workforce development plan.</w:t>
            </w:r>
          </w:p>
          <w:p>
            <w:pPr>
              <w:pStyle w:val="TextBody"/>
              <w:spacing w:lineRule="auto" w:line="240" w:before="0" w:after="0"/>
              <w:ind w:left="720" w:right="0" w:hanging="0"/>
              <w:rPr>
                <w:b w:val="false"/>
                <w:b w:val="false"/>
                <w:sz w:val="22"/>
                <w:szCs w:val="22"/>
              </w:rPr>
            </w:pPr>
            <w:r>
              <w:rPr>
                <w:b w:val="false"/>
                <w:sz w:val="22"/>
                <w:szCs w:val="22"/>
              </w:rPr>
            </w:r>
          </w:p>
          <w:p>
            <w:pPr>
              <w:pStyle w:val="TextBody"/>
              <w:numPr>
                <w:ilvl w:val="0"/>
                <w:numId w:val="5"/>
              </w:numPr>
              <w:spacing w:lineRule="auto" w:line="240" w:before="0" w:after="0"/>
              <w:rPr>
                <w:b w:val="false"/>
                <w:b w:val="false"/>
                <w:sz w:val="22"/>
                <w:szCs w:val="22"/>
              </w:rPr>
            </w:pPr>
            <w:r>
              <w:rPr>
                <w:b w:val="false"/>
                <w:sz w:val="22"/>
                <w:szCs w:val="22"/>
              </w:rPr>
              <w:t>Ensure that the staffing practices of the Team are in accordance with Social Services guidelines, eg in relation to casual/temporary employment.</w:t>
            </w:r>
          </w:p>
          <w:p>
            <w:pPr>
              <w:pStyle w:val="TextBody"/>
              <w:spacing w:lineRule="auto" w:line="240" w:before="0" w:after="0"/>
              <w:ind w:left="720" w:right="0" w:hanging="0"/>
              <w:rPr>
                <w:b w:val="false"/>
                <w:b w:val="false"/>
                <w:sz w:val="22"/>
                <w:szCs w:val="22"/>
              </w:rPr>
            </w:pPr>
            <w:r>
              <w:rPr>
                <w:b w:val="false"/>
                <w:sz w:val="22"/>
                <w:szCs w:val="22"/>
              </w:rPr>
            </w:r>
          </w:p>
          <w:p>
            <w:pPr>
              <w:pStyle w:val="TextBody"/>
              <w:numPr>
                <w:ilvl w:val="0"/>
                <w:numId w:val="5"/>
              </w:numPr>
              <w:spacing w:lineRule="auto" w:line="240" w:before="0" w:after="0"/>
              <w:rPr>
                <w:b w:val="false"/>
                <w:b w:val="false"/>
                <w:sz w:val="22"/>
                <w:szCs w:val="22"/>
              </w:rPr>
            </w:pPr>
            <w:r>
              <w:rPr>
                <w:b w:val="false"/>
                <w:sz w:val="22"/>
                <w:szCs w:val="22"/>
              </w:rPr>
              <w:t>Operate Personnel Practices within the Authority's/Primary Care Trust's scheme of delegation and follow agreed consultation processes with employees and Trade Unions.</w:t>
            </w:r>
          </w:p>
          <w:p>
            <w:pPr>
              <w:pStyle w:val="TextBody"/>
              <w:spacing w:lineRule="auto" w:line="240" w:before="0" w:after="0"/>
              <w:ind w:left="720" w:right="0" w:hanging="0"/>
              <w:rPr>
                <w:b w:val="false"/>
                <w:b w:val="false"/>
                <w:sz w:val="22"/>
                <w:szCs w:val="22"/>
              </w:rPr>
            </w:pPr>
            <w:r>
              <w:rPr>
                <w:b w:val="false"/>
                <w:sz w:val="22"/>
                <w:szCs w:val="22"/>
              </w:rPr>
            </w:r>
          </w:p>
          <w:p>
            <w:pPr>
              <w:pStyle w:val="TextBody"/>
              <w:numPr>
                <w:ilvl w:val="0"/>
                <w:numId w:val="5"/>
              </w:numPr>
              <w:spacing w:lineRule="auto" w:line="240" w:before="0" w:after="0"/>
              <w:rPr>
                <w:bCs w:val="false"/>
                <w:sz w:val="22"/>
                <w:szCs w:val="22"/>
              </w:rPr>
            </w:pPr>
            <w:r>
              <w:rPr>
                <w:bCs w:val="false"/>
                <w:sz w:val="22"/>
                <w:szCs w:val="22"/>
              </w:rPr>
              <w:t>Management of Finance and Resources</w:t>
            </w:r>
          </w:p>
          <w:p>
            <w:pPr>
              <w:pStyle w:val="TextBody"/>
              <w:spacing w:lineRule="auto" w:line="240" w:before="0" w:after="0"/>
              <w:ind w:left="720" w:right="0" w:hanging="0"/>
              <w:rPr>
                <w:b w:val="false"/>
                <w:b w:val="false"/>
                <w:sz w:val="22"/>
                <w:szCs w:val="22"/>
              </w:rPr>
            </w:pPr>
            <w:r>
              <w:rPr>
                <w:b w:val="false"/>
                <w:sz w:val="22"/>
                <w:szCs w:val="22"/>
              </w:rPr>
            </w:r>
          </w:p>
          <w:p>
            <w:pPr>
              <w:pStyle w:val="TextBody"/>
              <w:numPr>
                <w:ilvl w:val="0"/>
                <w:numId w:val="5"/>
              </w:numPr>
              <w:spacing w:lineRule="auto" w:line="240" w:before="0" w:after="0"/>
              <w:rPr>
                <w:b w:val="false"/>
                <w:b w:val="false"/>
                <w:sz w:val="22"/>
                <w:szCs w:val="22"/>
              </w:rPr>
            </w:pPr>
            <w:r>
              <w:rPr>
                <w:b w:val="false"/>
                <w:sz w:val="22"/>
                <w:szCs w:val="22"/>
              </w:rPr>
              <w:t>Management of all budgets held by the Team</w:t>
            </w:r>
          </w:p>
          <w:p>
            <w:pPr>
              <w:pStyle w:val="TextBody"/>
              <w:spacing w:lineRule="auto" w:line="240" w:before="0" w:after="0"/>
              <w:ind w:left="720" w:right="0" w:hanging="0"/>
              <w:rPr>
                <w:b w:val="false"/>
                <w:b w:val="false"/>
                <w:sz w:val="22"/>
                <w:szCs w:val="22"/>
              </w:rPr>
            </w:pPr>
            <w:r>
              <w:rPr>
                <w:b w:val="false"/>
                <w:sz w:val="22"/>
                <w:szCs w:val="22"/>
              </w:rPr>
            </w:r>
          </w:p>
          <w:p>
            <w:pPr>
              <w:pStyle w:val="TextBody"/>
              <w:numPr>
                <w:ilvl w:val="0"/>
                <w:numId w:val="5"/>
              </w:numPr>
              <w:spacing w:lineRule="auto" w:line="240" w:before="0" w:after="0"/>
              <w:rPr>
                <w:b w:val="false"/>
                <w:b w:val="false"/>
                <w:sz w:val="22"/>
                <w:szCs w:val="22"/>
              </w:rPr>
            </w:pPr>
            <w:r>
              <w:rPr>
                <w:b w:val="false"/>
                <w:sz w:val="22"/>
                <w:szCs w:val="22"/>
              </w:rPr>
              <w:t>Responsibility for budget monitoring and for the control of income and expenditure within approved levels.</w:t>
            </w:r>
          </w:p>
          <w:p>
            <w:pPr>
              <w:pStyle w:val="TextBody"/>
              <w:spacing w:lineRule="auto" w:line="240" w:before="0" w:after="0"/>
              <w:ind w:left="720" w:right="0" w:hanging="0"/>
              <w:rPr>
                <w:b w:val="false"/>
                <w:b w:val="false"/>
                <w:sz w:val="22"/>
                <w:szCs w:val="22"/>
              </w:rPr>
            </w:pPr>
            <w:r>
              <w:rPr>
                <w:b w:val="false"/>
                <w:sz w:val="22"/>
                <w:szCs w:val="22"/>
              </w:rPr>
            </w:r>
          </w:p>
          <w:p>
            <w:pPr>
              <w:pStyle w:val="TextBody"/>
              <w:numPr>
                <w:ilvl w:val="0"/>
                <w:numId w:val="5"/>
              </w:numPr>
              <w:spacing w:lineRule="auto" w:line="240" w:before="0" w:after="0"/>
              <w:rPr>
                <w:b w:val="false"/>
                <w:b w:val="false"/>
                <w:sz w:val="22"/>
                <w:szCs w:val="22"/>
              </w:rPr>
            </w:pPr>
            <w:r>
              <w:rPr>
                <w:b w:val="false"/>
                <w:sz w:val="22"/>
                <w:szCs w:val="22"/>
              </w:rPr>
              <w:t>Ensure that the Team operates within the Departmental Scheme of financial Delegation, Council Standing Orders and Financial Regulations/Primary Care Trust financial guidelines.</w:t>
            </w:r>
          </w:p>
          <w:p>
            <w:pPr>
              <w:pStyle w:val="TextBody"/>
              <w:spacing w:lineRule="auto" w:line="240" w:before="0" w:after="0"/>
              <w:ind w:left="720" w:right="0" w:hanging="0"/>
              <w:rPr>
                <w:b w:val="false"/>
                <w:b w:val="false"/>
                <w:sz w:val="22"/>
                <w:szCs w:val="22"/>
              </w:rPr>
            </w:pPr>
            <w:r>
              <w:rPr>
                <w:b w:val="false"/>
                <w:sz w:val="22"/>
                <w:szCs w:val="22"/>
              </w:rPr>
            </w:r>
          </w:p>
          <w:p>
            <w:pPr>
              <w:pStyle w:val="TextBody"/>
              <w:numPr>
                <w:ilvl w:val="0"/>
                <w:numId w:val="5"/>
              </w:numPr>
              <w:spacing w:lineRule="auto" w:line="240" w:before="0" w:after="0"/>
              <w:rPr>
                <w:b w:val="false"/>
                <w:b w:val="false"/>
                <w:sz w:val="22"/>
                <w:szCs w:val="22"/>
              </w:rPr>
            </w:pPr>
            <w:r>
              <w:rPr>
                <w:b w:val="false"/>
                <w:sz w:val="22"/>
                <w:szCs w:val="22"/>
              </w:rPr>
              <w:t>Manage allocation of work in accordance with priorities, ensuring that assessments, care plans and  review functions are implemented where required and monitored and reviewed according to local procedures and priorities.</w:t>
            </w:r>
          </w:p>
          <w:p>
            <w:pPr>
              <w:pStyle w:val="TextBody"/>
              <w:spacing w:lineRule="auto" w:line="240" w:before="0" w:after="0"/>
              <w:ind w:left="720" w:right="0" w:hanging="0"/>
              <w:rPr>
                <w:b w:val="false"/>
                <w:b w:val="false"/>
                <w:sz w:val="22"/>
                <w:szCs w:val="22"/>
              </w:rPr>
            </w:pPr>
            <w:r>
              <w:rPr>
                <w:b w:val="false"/>
                <w:sz w:val="22"/>
                <w:szCs w:val="22"/>
              </w:rPr>
            </w:r>
          </w:p>
          <w:p>
            <w:pPr>
              <w:pStyle w:val="TextBody"/>
              <w:numPr>
                <w:ilvl w:val="0"/>
                <w:numId w:val="5"/>
              </w:numPr>
              <w:spacing w:lineRule="auto" w:line="240" w:before="0" w:after="0"/>
              <w:rPr>
                <w:b w:val="false"/>
                <w:b w:val="false"/>
                <w:sz w:val="22"/>
                <w:szCs w:val="22"/>
              </w:rPr>
            </w:pPr>
            <w:r>
              <w:rPr>
                <w:b w:val="false"/>
                <w:sz w:val="22"/>
                <w:szCs w:val="22"/>
              </w:rPr>
              <w:t>Maintain effective workload monitoring within the Team</w:t>
            </w:r>
          </w:p>
          <w:p>
            <w:pPr>
              <w:pStyle w:val="TextBody"/>
              <w:spacing w:lineRule="auto" w:line="240" w:before="0" w:after="0"/>
              <w:ind w:left="720" w:right="0" w:hanging="0"/>
              <w:rPr>
                <w:b w:val="false"/>
                <w:b w:val="false"/>
                <w:sz w:val="22"/>
                <w:szCs w:val="22"/>
              </w:rPr>
            </w:pPr>
            <w:r>
              <w:rPr>
                <w:b w:val="false"/>
                <w:sz w:val="22"/>
                <w:szCs w:val="22"/>
              </w:rPr>
            </w:r>
          </w:p>
          <w:p>
            <w:pPr>
              <w:pStyle w:val="TextBody"/>
              <w:numPr>
                <w:ilvl w:val="0"/>
                <w:numId w:val="5"/>
              </w:numPr>
              <w:spacing w:lineRule="auto" w:line="240" w:before="0" w:after="0"/>
              <w:rPr>
                <w:b w:val="false"/>
                <w:b w:val="false"/>
                <w:sz w:val="22"/>
                <w:szCs w:val="22"/>
              </w:rPr>
            </w:pPr>
            <w:r>
              <w:rPr>
                <w:b w:val="false"/>
                <w:sz w:val="22"/>
                <w:szCs w:val="22"/>
              </w:rPr>
              <w:t>Contribute to the development of unit costs for the Team's activity</w:t>
            </w:r>
          </w:p>
          <w:p>
            <w:pPr>
              <w:pStyle w:val="TextBody"/>
              <w:spacing w:lineRule="auto" w:line="240" w:before="0" w:after="0"/>
              <w:ind w:left="720" w:right="0" w:hanging="0"/>
              <w:rPr>
                <w:b w:val="false"/>
                <w:b w:val="false"/>
                <w:sz w:val="22"/>
                <w:szCs w:val="22"/>
              </w:rPr>
            </w:pPr>
            <w:r>
              <w:rPr>
                <w:b w:val="false"/>
                <w:sz w:val="22"/>
                <w:szCs w:val="22"/>
              </w:rPr>
            </w:r>
          </w:p>
          <w:p>
            <w:pPr>
              <w:pStyle w:val="TextBody"/>
              <w:numPr>
                <w:ilvl w:val="0"/>
                <w:numId w:val="5"/>
              </w:numPr>
              <w:spacing w:lineRule="auto" w:line="240" w:before="0" w:after="0"/>
              <w:rPr>
                <w:b w:val="false"/>
                <w:b w:val="false"/>
                <w:sz w:val="22"/>
                <w:szCs w:val="22"/>
              </w:rPr>
            </w:pPr>
            <w:r>
              <w:rPr>
                <w:b w:val="false"/>
                <w:sz w:val="22"/>
                <w:szCs w:val="22"/>
              </w:rPr>
              <w:t>Participate in out of hours management cover as appropriate to the service area.</w:t>
            </w:r>
          </w:p>
          <w:p>
            <w:pPr>
              <w:pStyle w:val="TextBody"/>
              <w:spacing w:lineRule="auto" w:line="240" w:before="0" w:after="0"/>
              <w:ind w:left="720" w:right="0" w:hanging="0"/>
              <w:rPr>
                <w:b w:val="false"/>
                <w:b w:val="false"/>
                <w:sz w:val="22"/>
                <w:szCs w:val="22"/>
              </w:rPr>
            </w:pPr>
            <w:r>
              <w:rPr>
                <w:b w:val="false"/>
                <w:sz w:val="22"/>
                <w:szCs w:val="22"/>
              </w:rPr>
            </w:r>
          </w:p>
          <w:p>
            <w:pPr>
              <w:pStyle w:val="TextBody"/>
              <w:numPr>
                <w:ilvl w:val="0"/>
                <w:numId w:val="5"/>
              </w:numPr>
              <w:spacing w:lineRule="auto" w:line="240" w:before="0" w:after="0"/>
              <w:rPr>
                <w:b w:val="false"/>
                <w:b w:val="false"/>
                <w:sz w:val="22"/>
                <w:szCs w:val="22"/>
              </w:rPr>
            </w:pPr>
            <w:r>
              <w:rPr>
                <w:b w:val="false"/>
                <w:sz w:val="22"/>
                <w:szCs w:val="22"/>
              </w:rPr>
              <w:t>Contribute to proposals for cost effective use of resources and plans for disinvestment and reinvestment.</w:t>
            </w:r>
          </w:p>
          <w:p>
            <w:pPr>
              <w:pStyle w:val="TextBody"/>
              <w:spacing w:lineRule="auto" w:line="240" w:before="0" w:after="0"/>
              <w:ind w:left="720" w:right="0" w:hanging="0"/>
              <w:rPr>
                <w:b w:val="false"/>
                <w:b w:val="false"/>
                <w:sz w:val="22"/>
                <w:szCs w:val="22"/>
              </w:rPr>
            </w:pPr>
            <w:r>
              <w:rPr>
                <w:b w:val="false"/>
                <w:sz w:val="22"/>
                <w:szCs w:val="22"/>
              </w:rPr>
            </w:r>
          </w:p>
          <w:p>
            <w:pPr>
              <w:pStyle w:val="TextBody"/>
              <w:numPr>
                <w:ilvl w:val="0"/>
                <w:numId w:val="5"/>
              </w:numPr>
              <w:spacing w:lineRule="auto" w:line="240" w:before="0" w:after="0"/>
              <w:rPr>
                <w:b w:val="false"/>
                <w:b w:val="false"/>
                <w:sz w:val="22"/>
                <w:szCs w:val="22"/>
              </w:rPr>
            </w:pPr>
            <w:r>
              <w:rPr>
                <w:b w:val="false"/>
                <w:sz w:val="22"/>
                <w:szCs w:val="22"/>
              </w:rPr>
              <w:t>Management/operational of team to accord with Best Value principles.</w:t>
            </w:r>
          </w:p>
          <w:p>
            <w:pPr>
              <w:pStyle w:val="NoSpacing"/>
              <w:spacing w:lineRule="auto" w:line="240" w:before="0" w:after="0"/>
              <w:jc w:val="both"/>
              <w:rPr>
                <w:rFonts w:ascii="Arial" w:hAnsi="Arial" w:cs="Arial"/>
              </w:rPr>
            </w:pPr>
            <w:r>
              <w:rPr>
                <w:rFonts w:cs="Arial" w:ascii="Arial" w:hAnsi="Arial"/>
              </w:rPr>
            </w:r>
          </w:p>
          <w:p>
            <w:pPr>
              <w:pStyle w:val="NoSpacing"/>
              <w:spacing w:lineRule="auto" w:line="240" w:before="0" w:after="0"/>
              <w:jc w:val="both"/>
              <w:rPr/>
            </w:pPr>
            <w:r>
              <w:rPr>
                <w:rFonts w:cs="Arial" w:ascii="Arial" w:hAnsi="Arial"/>
              </w:rPr>
              <w:t>The duties may vary from time to time without changing the nature of the post or the level of responsibility, and the post holder may also be required to carry out any other duties appropriate to the grading of the post.</w:t>
            </w:r>
            <w:r>
              <w:rPr>
                <w:rFonts w:cs="Arial" w:ascii="Arial" w:hAnsi="Arial"/>
                <w:sz w:val="20"/>
                <w:szCs w:val="20"/>
              </w:rPr>
              <w:t xml:space="preserve"> </w:t>
            </w:r>
          </w:p>
        </w:tc>
      </w:tr>
    </w:tbl>
    <w:p>
      <w:pPr>
        <w:pStyle w:val="Normal"/>
        <w:spacing w:lineRule="auto" w:line="276"/>
        <w:jc w:val="both"/>
        <w:rPr>
          <w:rFonts w:ascii="Arial" w:hAnsi="Arial" w:eastAsia="Calibri" w:cs="Arial"/>
          <w:b/>
          <w:b/>
        </w:rPr>
      </w:pPr>
      <w:r>
        <w:rPr>
          <w:rFonts w:eastAsia="Calibri" w:cs="Arial" w:ascii="Arial" w:hAnsi="Arial"/>
          <w:b/>
        </w:rPr>
      </w:r>
    </w:p>
    <w:p>
      <w:pPr>
        <w:pStyle w:val="Normal"/>
        <w:spacing w:lineRule="auto" w:line="276"/>
        <w:jc w:val="both"/>
        <w:rPr>
          <w:rFonts w:ascii="Arial" w:hAnsi="Arial" w:eastAsia="Calibri" w:cs="Arial"/>
          <w:b/>
          <w:b/>
        </w:rPr>
      </w:pPr>
      <w:r>
        <w:rPr>
          <w:rFonts w:eastAsia="Calibri" w:cs="Arial" w:ascii="Arial" w:hAnsi="Arial"/>
          <w:b/>
        </w:rPr>
      </w:r>
    </w:p>
    <w:tbl>
      <w:tblPr>
        <w:tblW w:w="9520" w:type="dxa"/>
        <w:jc w:val="left"/>
        <w:tblInd w:w="0" w:type="dxa"/>
        <w:tblCellMar>
          <w:top w:w="0" w:type="dxa"/>
          <w:left w:w="108" w:type="dxa"/>
          <w:bottom w:w="0" w:type="dxa"/>
          <w:right w:w="108" w:type="dxa"/>
        </w:tblCellMar>
      </w:tblPr>
      <w:tblGrid>
        <w:gridCol w:w="9520"/>
      </w:tblGrid>
      <w:tr>
        <w:trPr>
          <w:trHeight w:val="265" w:hRule="atLeast"/>
        </w:trPr>
        <w:tc>
          <w:tcPr>
            <w:tcW w:w="9520" w:type="dxa"/>
            <w:tcBorders>
              <w:top w:val="single" w:sz="18" w:space="0" w:color="70AD47"/>
              <w:left w:val="single" w:sz="18" w:space="0" w:color="70AD47"/>
              <w:bottom w:val="single" w:sz="18" w:space="0" w:color="70AD47"/>
              <w:right w:val="single" w:sz="18" w:space="0" w:color="70AD47"/>
            </w:tcBorders>
            <w:shd w:fill="C5E0B3" w:val="clear"/>
          </w:tcPr>
          <w:p>
            <w:pPr>
              <w:pStyle w:val="Normal"/>
              <w:spacing w:lineRule="auto" w:line="240" w:before="0" w:after="0"/>
              <w:rPr>
                <w:rFonts w:ascii="Arial" w:hAnsi="Arial" w:eastAsia="Calibri" w:cs="Arial"/>
                <w:b/>
                <w:b/>
              </w:rPr>
            </w:pPr>
            <w:r>
              <w:rPr>
                <w:rFonts w:eastAsia="Calibri" w:cs="Arial" w:ascii="Arial" w:hAnsi="Arial"/>
                <w:b/>
              </w:rPr>
              <w:t>About You</w:t>
            </w:r>
          </w:p>
        </w:tc>
      </w:tr>
      <w:tr>
        <w:trPr>
          <w:trHeight w:val="523" w:hRule="atLeast"/>
        </w:trPr>
        <w:tc>
          <w:tcPr>
            <w:tcW w:w="9520" w:type="dxa"/>
            <w:tcBorders>
              <w:top w:val="single" w:sz="18" w:space="0" w:color="70AD47"/>
              <w:left w:val="single" w:sz="18" w:space="0" w:color="70AD47"/>
              <w:bottom w:val="single" w:sz="18" w:space="0" w:color="70AD47"/>
              <w:right w:val="single" w:sz="18" w:space="0" w:color="70AD47"/>
            </w:tcBorders>
            <w:shd w:fill="auto" w:val="clear"/>
          </w:tcPr>
          <w:p>
            <w:pPr>
              <w:pStyle w:val="Normal"/>
              <w:spacing w:lineRule="auto" w:line="240" w:before="0" w:after="0"/>
              <w:rPr>
                <w:rFonts w:ascii="Arial" w:hAnsi="Arial" w:eastAsia="Calibri" w:cs="Arial"/>
                <w:b/>
                <w:b/>
              </w:rPr>
            </w:pPr>
            <w:r>
              <w:rPr>
                <w:rFonts w:eastAsia="Calibri" w:cs="Arial" w:ascii="Arial" w:hAnsi="Arial"/>
                <w:b/>
              </w:rPr>
              <w:t>Your essential qualifications</w:t>
            </w:r>
          </w:p>
          <w:p>
            <w:pPr>
              <w:pStyle w:val="Normal"/>
              <w:spacing w:lineRule="auto" w:line="240" w:before="0" w:after="0"/>
              <w:rPr>
                <w:rFonts w:ascii="Arial" w:hAnsi="Arial" w:eastAsia="Calibri" w:cs="Arial"/>
                <w:b/>
                <w:b/>
              </w:rPr>
            </w:pPr>
            <w:r>
              <w:rPr>
                <w:rFonts w:eastAsia="Calibri" w:cs="Arial" w:ascii="Arial" w:hAnsi="Arial"/>
                <w:b/>
              </w:rPr>
            </w:r>
          </w:p>
          <w:p>
            <w:pPr>
              <w:pStyle w:val="ListParagraph"/>
              <w:numPr>
                <w:ilvl w:val="0"/>
                <w:numId w:val="3"/>
              </w:numPr>
              <w:spacing w:lineRule="auto" w:line="240" w:before="0" w:after="0"/>
              <w:contextualSpacing/>
              <w:rPr>
                <w:rFonts w:eastAsia="Calibri"/>
                <w:bCs/>
              </w:rPr>
            </w:pPr>
            <w:r>
              <w:rPr>
                <w:rFonts w:eastAsia="Calibri"/>
                <w:bCs/>
              </w:rPr>
              <w:t>Good level of Education to ‘A’ Level standard or equivalent level 3 Qualification</w:t>
            </w:r>
          </w:p>
          <w:p>
            <w:pPr>
              <w:pStyle w:val="ListParagraph"/>
              <w:numPr>
                <w:ilvl w:val="0"/>
                <w:numId w:val="3"/>
              </w:numPr>
              <w:spacing w:lineRule="auto" w:line="240" w:before="0" w:after="0"/>
              <w:contextualSpacing/>
              <w:rPr>
                <w:rFonts w:eastAsia="Calibri"/>
                <w:bCs/>
              </w:rPr>
            </w:pPr>
            <w:r>
              <w:rPr>
                <w:rFonts w:eastAsia="Calibri"/>
                <w:bCs/>
              </w:rPr>
              <w:t>Management Qualification</w:t>
            </w:r>
          </w:p>
          <w:p>
            <w:pPr>
              <w:pStyle w:val="ListParagraph"/>
              <w:numPr>
                <w:ilvl w:val="0"/>
                <w:numId w:val="3"/>
              </w:numPr>
              <w:spacing w:lineRule="auto" w:line="240" w:before="0" w:after="0"/>
              <w:contextualSpacing/>
              <w:rPr>
                <w:rFonts w:eastAsia="Calibri"/>
                <w:bCs/>
              </w:rPr>
            </w:pPr>
            <w:r>
              <w:rPr>
                <w:rFonts w:eastAsia="Calibri"/>
                <w:bCs/>
              </w:rPr>
              <w:t>Commissioning Qualification (or willingness to work towards)</w:t>
            </w:r>
          </w:p>
          <w:p>
            <w:pPr>
              <w:pStyle w:val="NoSpacing"/>
              <w:spacing w:lineRule="auto" w:line="240" w:before="0" w:after="0"/>
              <w:rPr>
                <w:rFonts w:ascii="Arial" w:hAnsi="Arial" w:cs="Arial"/>
                <w:b/>
                <w:b/>
                <w:sz w:val="20"/>
                <w:szCs w:val="20"/>
              </w:rPr>
            </w:pPr>
            <w:r>
              <w:rPr>
                <w:rFonts w:cs="Arial" w:ascii="Arial" w:hAnsi="Arial"/>
                <w:b/>
                <w:sz w:val="20"/>
                <w:szCs w:val="20"/>
              </w:rPr>
              <w:t>Your essential skills, knowledge and experience</w:t>
            </w:r>
          </w:p>
          <w:p>
            <w:pPr>
              <w:pStyle w:val="NoSpacing"/>
              <w:spacing w:lineRule="auto" w:line="240" w:before="0" w:after="0"/>
              <w:rPr>
                <w:rFonts w:ascii="Arial" w:hAnsi="Arial" w:cs="Arial"/>
                <w:b/>
                <w:b/>
                <w:sz w:val="20"/>
                <w:szCs w:val="20"/>
              </w:rPr>
            </w:pPr>
            <w:r>
              <w:rPr>
                <w:rFonts w:cs="Arial" w:ascii="Arial" w:hAnsi="Arial"/>
                <w:b/>
                <w:sz w:val="20"/>
                <w:szCs w:val="20"/>
              </w:rPr>
            </w:r>
          </w:p>
          <w:p>
            <w:pPr>
              <w:pStyle w:val="NoSpacing"/>
              <w:numPr>
                <w:ilvl w:val="0"/>
                <w:numId w:val="3"/>
              </w:numPr>
              <w:spacing w:lineRule="auto" w:line="240" w:before="0" w:after="0"/>
              <w:rPr>
                <w:rFonts w:ascii="Arial" w:hAnsi="Arial" w:cs="Arial"/>
                <w:bCs/>
              </w:rPr>
            </w:pPr>
            <w:r>
              <w:rPr>
                <w:rFonts w:cs="Arial" w:ascii="Arial" w:hAnsi="Arial"/>
                <w:bCs/>
              </w:rPr>
              <w:t>At least 12 months experience within a contracting environment</w:t>
            </w:r>
          </w:p>
          <w:p>
            <w:pPr>
              <w:pStyle w:val="NoSpacing"/>
              <w:numPr>
                <w:ilvl w:val="0"/>
                <w:numId w:val="3"/>
              </w:numPr>
              <w:spacing w:lineRule="auto" w:line="240" w:before="0" w:after="0"/>
              <w:rPr>
                <w:rFonts w:ascii="Arial" w:hAnsi="Arial" w:cs="Arial"/>
                <w:bCs/>
              </w:rPr>
            </w:pPr>
            <w:r>
              <w:rPr>
                <w:rFonts w:cs="Arial" w:ascii="Arial" w:hAnsi="Arial"/>
                <w:bCs/>
              </w:rPr>
              <w:t>A management qualification or the ability to work towards achieving one</w:t>
            </w:r>
          </w:p>
          <w:p>
            <w:pPr>
              <w:pStyle w:val="NoSpacing"/>
              <w:numPr>
                <w:ilvl w:val="0"/>
                <w:numId w:val="3"/>
              </w:numPr>
              <w:spacing w:lineRule="auto" w:line="240" w:before="0" w:after="0"/>
              <w:rPr>
                <w:rFonts w:ascii="Arial" w:hAnsi="Arial" w:cs="Arial"/>
                <w:bCs/>
              </w:rPr>
            </w:pPr>
            <w:r>
              <w:rPr>
                <w:rFonts w:cs="Arial" w:ascii="Arial" w:hAnsi="Arial"/>
                <w:bCs/>
              </w:rPr>
              <w:t>Effective communication skills at both verbal and written levels</w:t>
              <w:tab/>
            </w:r>
          </w:p>
          <w:p>
            <w:pPr>
              <w:pStyle w:val="NoSpacing"/>
              <w:numPr>
                <w:ilvl w:val="0"/>
                <w:numId w:val="3"/>
              </w:numPr>
              <w:spacing w:lineRule="auto" w:line="240" w:before="0" w:after="0"/>
              <w:rPr>
                <w:rFonts w:ascii="Arial" w:hAnsi="Arial" w:cs="Arial"/>
                <w:bCs/>
              </w:rPr>
            </w:pPr>
            <w:r>
              <w:rPr>
                <w:rFonts w:cs="Arial" w:ascii="Arial" w:hAnsi="Arial"/>
                <w:bCs/>
              </w:rPr>
              <w:t xml:space="preserve">Effective and up to date IT skills  </w:t>
              <w:tab/>
              <w:tab/>
              <w:tab/>
              <w:tab/>
              <w:tab/>
              <w:tab/>
            </w:r>
          </w:p>
          <w:p>
            <w:pPr>
              <w:pStyle w:val="NoSpacing"/>
              <w:numPr>
                <w:ilvl w:val="0"/>
                <w:numId w:val="3"/>
              </w:numPr>
              <w:spacing w:lineRule="auto" w:line="240" w:before="0" w:after="0"/>
              <w:rPr>
                <w:rFonts w:ascii="Arial" w:hAnsi="Arial" w:cs="Arial"/>
                <w:bCs/>
              </w:rPr>
            </w:pPr>
            <w:r>
              <w:rPr>
                <w:rFonts w:cs="Arial" w:ascii="Arial" w:hAnsi="Arial"/>
                <w:bCs/>
              </w:rPr>
              <w:t xml:space="preserve">The ability to monitor and report on financial information </w:t>
            </w:r>
          </w:p>
          <w:p>
            <w:pPr>
              <w:pStyle w:val="NoSpacing"/>
              <w:numPr>
                <w:ilvl w:val="0"/>
                <w:numId w:val="3"/>
              </w:numPr>
              <w:spacing w:lineRule="auto" w:line="240" w:before="0" w:after="0"/>
              <w:rPr>
                <w:rFonts w:ascii="Arial" w:hAnsi="Arial" w:cs="Arial"/>
                <w:bCs/>
              </w:rPr>
            </w:pPr>
            <w:r>
              <w:rPr>
                <w:rFonts w:cs="Arial" w:ascii="Arial" w:hAnsi="Arial"/>
                <w:bCs/>
              </w:rPr>
              <w:t>Effective organisational and planning skills and the ability to coordinate a variety of different activities simultaneously</w:t>
              <w:tab/>
              <w:tab/>
              <w:tab/>
              <w:tab/>
              <w:tab/>
              <w:tab/>
            </w:r>
          </w:p>
          <w:p>
            <w:pPr>
              <w:pStyle w:val="NoSpacing"/>
              <w:numPr>
                <w:ilvl w:val="0"/>
                <w:numId w:val="3"/>
              </w:numPr>
              <w:spacing w:lineRule="auto" w:line="240" w:before="0" w:after="0"/>
              <w:rPr>
                <w:rFonts w:ascii="Arial" w:hAnsi="Arial" w:cs="Arial"/>
                <w:bCs/>
              </w:rPr>
            </w:pPr>
            <w:r>
              <w:rPr>
                <w:rFonts w:cs="Arial" w:ascii="Arial" w:hAnsi="Arial"/>
                <w:bCs/>
              </w:rPr>
              <w:t>The ability to process and manage information effectively including the establishment and maintenance of appropriate systems.</w:t>
            </w:r>
          </w:p>
          <w:p>
            <w:pPr>
              <w:pStyle w:val="NoSpacing"/>
              <w:numPr>
                <w:ilvl w:val="0"/>
                <w:numId w:val="3"/>
              </w:numPr>
              <w:spacing w:lineRule="auto" w:line="240" w:before="0" w:after="0"/>
              <w:rPr>
                <w:rFonts w:ascii="Arial" w:hAnsi="Arial" w:cs="Arial"/>
                <w:bCs/>
              </w:rPr>
            </w:pPr>
            <w:r>
              <w:rPr>
                <w:rFonts w:cs="Arial" w:ascii="Arial" w:hAnsi="Arial"/>
                <w:bCs/>
              </w:rPr>
              <w:t>The ability to take a pro-active approach including initiating work, taking lead responsibility, working autonomously where appropriate</w:t>
            </w:r>
          </w:p>
          <w:p>
            <w:pPr>
              <w:pStyle w:val="NoSpacing"/>
              <w:numPr>
                <w:ilvl w:val="0"/>
                <w:numId w:val="3"/>
              </w:numPr>
              <w:spacing w:lineRule="auto" w:line="240" w:before="0" w:after="0"/>
              <w:rPr>
                <w:rFonts w:ascii="Arial" w:hAnsi="Arial" w:cs="Arial"/>
                <w:bCs/>
              </w:rPr>
            </w:pPr>
            <w:r>
              <w:rPr>
                <w:rFonts w:cs="Arial" w:ascii="Arial" w:hAnsi="Arial"/>
                <w:bCs/>
              </w:rPr>
              <w:t>The ability to work productively with a range of people, including senior officers, independent Providers and people who use services</w:t>
            </w:r>
          </w:p>
          <w:p>
            <w:pPr>
              <w:pStyle w:val="NoSpacing"/>
              <w:numPr>
                <w:ilvl w:val="0"/>
                <w:numId w:val="3"/>
              </w:numPr>
              <w:spacing w:lineRule="auto" w:line="240" w:before="0" w:after="0"/>
              <w:rPr>
                <w:rFonts w:ascii="Arial" w:hAnsi="Arial" w:cs="Arial"/>
                <w:bCs/>
              </w:rPr>
            </w:pPr>
            <w:r>
              <w:rPr>
                <w:rFonts w:cs="Arial" w:ascii="Arial" w:hAnsi="Arial"/>
                <w:bCs/>
              </w:rPr>
              <w:t>The ability to work in complex situations and offer solutions</w:t>
            </w:r>
          </w:p>
          <w:p>
            <w:pPr>
              <w:pStyle w:val="NoSpacing"/>
              <w:numPr>
                <w:ilvl w:val="0"/>
                <w:numId w:val="3"/>
              </w:numPr>
              <w:spacing w:lineRule="auto" w:line="240" w:before="0" w:after="0"/>
              <w:rPr>
                <w:rFonts w:ascii="Arial" w:hAnsi="Arial" w:cs="Arial"/>
                <w:bCs/>
              </w:rPr>
            </w:pPr>
            <w:r>
              <w:rPr>
                <w:rFonts w:cs="Arial" w:ascii="Arial" w:hAnsi="Arial"/>
                <w:bCs/>
              </w:rPr>
              <w:t>The ability to self-reflect and a commitment to own personal and professional development</w:t>
            </w:r>
          </w:p>
          <w:p>
            <w:pPr>
              <w:pStyle w:val="NoSpacing"/>
              <w:numPr>
                <w:ilvl w:val="0"/>
                <w:numId w:val="3"/>
              </w:numPr>
              <w:spacing w:lineRule="auto" w:line="240" w:before="0" w:after="0"/>
              <w:rPr>
                <w:rFonts w:ascii="Arial" w:hAnsi="Arial" w:cs="Arial"/>
                <w:bCs/>
              </w:rPr>
            </w:pPr>
            <w:r>
              <w:rPr>
                <w:rFonts w:cs="Arial" w:ascii="Arial" w:hAnsi="Arial"/>
                <w:bCs/>
              </w:rPr>
              <w:t>The ability to converse at ease with service users/customers and provide advice in accurate spoken English</w:t>
            </w:r>
          </w:p>
          <w:p>
            <w:pPr>
              <w:pStyle w:val="NoSpacing"/>
              <w:numPr>
                <w:ilvl w:val="0"/>
                <w:numId w:val="3"/>
              </w:numPr>
              <w:spacing w:lineRule="auto" w:line="240" w:before="0" w:after="0"/>
              <w:rPr>
                <w:rFonts w:ascii="Arial" w:hAnsi="Arial" w:cs="Arial"/>
                <w:bCs/>
              </w:rPr>
            </w:pPr>
            <w:r>
              <w:rPr>
                <w:rFonts w:cs="Arial" w:ascii="Arial" w:hAnsi="Arial"/>
                <w:bCs/>
              </w:rPr>
              <w:t>Knowledge and understanding of the tasks and processes involved in managing and designing contracts</w:t>
            </w:r>
          </w:p>
          <w:p>
            <w:pPr>
              <w:pStyle w:val="NoSpacing"/>
              <w:numPr>
                <w:ilvl w:val="0"/>
                <w:numId w:val="3"/>
              </w:numPr>
              <w:spacing w:lineRule="auto" w:line="240" w:before="0" w:after="0"/>
              <w:rPr>
                <w:rFonts w:ascii="Arial" w:hAnsi="Arial" w:cs="Arial"/>
                <w:bCs/>
              </w:rPr>
            </w:pPr>
            <w:r>
              <w:rPr>
                <w:rFonts w:cs="Arial" w:ascii="Arial" w:hAnsi="Arial"/>
                <w:bCs/>
              </w:rPr>
              <w:t>Understanding of the relevance of Local Authority Standing Orders relating to contracts and financial regulations, and also European procurement regulations</w:t>
            </w:r>
          </w:p>
          <w:p>
            <w:pPr>
              <w:pStyle w:val="NoSpacing"/>
              <w:numPr>
                <w:ilvl w:val="0"/>
                <w:numId w:val="3"/>
              </w:numPr>
              <w:spacing w:lineRule="auto" w:line="240" w:before="0" w:after="0"/>
              <w:rPr>
                <w:rFonts w:ascii="Arial" w:hAnsi="Arial" w:cs="Arial"/>
                <w:bCs/>
              </w:rPr>
            </w:pPr>
            <w:r>
              <w:rPr>
                <w:rFonts w:cs="Arial" w:ascii="Arial" w:hAnsi="Arial"/>
                <w:bCs/>
              </w:rPr>
              <w:t>Ability to manage own workload</w:t>
            </w:r>
          </w:p>
          <w:p>
            <w:pPr>
              <w:pStyle w:val="NoSpacing"/>
              <w:spacing w:lineRule="auto" w:line="240" w:before="0" w:after="0"/>
              <w:rPr>
                <w:rFonts w:ascii="Arial" w:hAnsi="Arial" w:cs="Arial"/>
                <w:b/>
                <w:b/>
                <w:sz w:val="20"/>
                <w:szCs w:val="20"/>
              </w:rPr>
            </w:pPr>
            <w:r>
              <w:rPr>
                <w:rFonts w:cs="Arial" w:ascii="Arial" w:hAnsi="Arial"/>
                <w:b/>
                <w:sz w:val="20"/>
                <w:szCs w:val="20"/>
              </w:rPr>
            </w:r>
          </w:p>
          <w:p>
            <w:pPr>
              <w:pStyle w:val="NoSpacing"/>
              <w:spacing w:lineRule="auto" w:line="240" w:before="0" w:after="0"/>
              <w:rPr>
                <w:rFonts w:ascii="Arial" w:hAnsi="Arial" w:cs="Arial"/>
                <w:b/>
                <w:b/>
                <w:sz w:val="20"/>
                <w:szCs w:val="20"/>
              </w:rPr>
            </w:pPr>
            <w:r>
              <w:rPr>
                <w:rFonts w:cs="Arial" w:ascii="Arial" w:hAnsi="Arial"/>
                <w:b/>
                <w:sz w:val="20"/>
                <w:szCs w:val="20"/>
              </w:rPr>
            </w:r>
          </w:p>
          <w:p>
            <w:pPr>
              <w:pStyle w:val="NoSpacing"/>
              <w:spacing w:lineRule="auto" w:line="240" w:before="0" w:after="0"/>
              <w:rPr>
                <w:rFonts w:ascii="Arial" w:hAnsi="Arial" w:cs="Arial"/>
                <w:b/>
                <w:b/>
                <w:sz w:val="20"/>
                <w:szCs w:val="20"/>
              </w:rPr>
            </w:pPr>
            <w:r>
              <w:rPr>
                <w:rFonts w:cs="Arial" w:ascii="Arial" w:hAnsi="Arial"/>
                <w:b/>
                <w:sz w:val="20"/>
                <w:szCs w:val="20"/>
              </w:rPr>
              <w:t>If you have the following experience or qualifications – then that’s great!</w:t>
            </w:r>
          </w:p>
          <w:p>
            <w:pPr>
              <w:pStyle w:val="Normal"/>
              <w:spacing w:lineRule="auto" w:line="240" w:before="0" w:after="0"/>
              <w:rPr>
                <w:rFonts w:ascii="Arial" w:hAnsi="Arial" w:eastAsia="Calibri" w:cs="Arial"/>
              </w:rPr>
            </w:pPr>
            <w:r>
              <w:rPr>
                <w:rFonts w:eastAsia="Calibri" w:cs="Arial" w:ascii="Arial" w:hAnsi="Arial"/>
              </w:rPr>
            </w:r>
          </w:p>
          <w:p>
            <w:pPr>
              <w:pStyle w:val="ListParagraph"/>
              <w:numPr>
                <w:ilvl w:val="0"/>
                <w:numId w:val="4"/>
              </w:numPr>
              <w:spacing w:lineRule="auto" w:line="240" w:before="0" w:after="0"/>
              <w:contextualSpacing/>
              <w:rPr/>
            </w:pPr>
            <w:r>
              <w:rPr/>
              <w:t>Legal or Procurement qualification</w:t>
            </w:r>
          </w:p>
          <w:p>
            <w:pPr>
              <w:pStyle w:val="ListParagraph"/>
              <w:numPr>
                <w:ilvl w:val="0"/>
                <w:numId w:val="4"/>
              </w:numPr>
              <w:spacing w:lineRule="auto" w:line="240" w:before="0" w:after="0"/>
              <w:contextualSpacing/>
              <w:rPr/>
            </w:pPr>
            <w:r>
              <w:rPr/>
              <w:t>Outcome Based contracting</w:t>
            </w:r>
          </w:p>
          <w:p>
            <w:pPr>
              <w:pStyle w:val="ListParagraph"/>
              <w:numPr>
                <w:ilvl w:val="0"/>
                <w:numId w:val="4"/>
              </w:numPr>
              <w:spacing w:lineRule="auto" w:line="240" w:before="0" w:after="0"/>
              <w:contextualSpacing/>
              <w:rPr/>
            </w:pPr>
            <w:r>
              <w:rPr/>
              <w:t>Public Sector contracting</w:t>
            </w:r>
          </w:p>
          <w:p>
            <w:pPr>
              <w:pStyle w:val="ListParagraph"/>
              <w:numPr>
                <w:ilvl w:val="0"/>
                <w:numId w:val="4"/>
              </w:numPr>
              <w:spacing w:lineRule="auto" w:line="240" w:before="0" w:after="0"/>
              <w:contextualSpacing/>
              <w:rPr/>
            </w:pPr>
            <w:r>
              <w:rPr/>
              <w:t>Previous work experience of public sector organisations including experience with a legal or financial framework</w:t>
            </w:r>
          </w:p>
          <w:p>
            <w:pPr>
              <w:pStyle w:val="ListParagraph"/>
              <w:numPr>
                <w:ilvl w:val="0"/>
                <w:numId w:val="4"/>
              </w:numPr>
              <w:spacing w:lineRule="auto" w:line="240" w:before="0" w:after="0"/>
              <w:contextualSpacing/>
              <w:rPr/>
            </w:pPr>
            <w:r>
              <w:rPr/>
              <w:t>Collation and production of statistics</w:t>
            </w:r>
          </w:p>
          <w:p>
            <w:pPr>
              <w:pStyle w:val="ListParagraph"/>
              <w:numPr>
                <w:ilvl w:val="0"/>
                <w:numId w:val="4"/>
              </w:numPr>
              <w:spacing w:lineRule="auto" w:line="240" w:before="0" w:after="0"/>
              <w:contextualSpacing/>
              <w:rPr/>
            </w:pPr>
            <w:r>
              <w:rPr/>
              <w:t>Management experience</w:t>
            </w:r>
          </w:p>
          <w:p>
            <w:pPr>
              <w:pStyle w:val="ListParagraph"/>
              <w:numPr>
                <w:ilvl w:val="0"/>
                <w:numId w:val="4"/>
              </w:numPr>
              <w:spacing w:lineRule="auto" w:line="240" w:before="0" w:after="0"/>
              <w:contextualSpacing/>
              <w:rPr/>
            </w:pPr>
            <w:r>
              <w:rPr/>
              <w:t>Knowledge and understanding of the changing health and social care agenda</w:t>
            </w:r>
          </w:p>
          <w:p>
            <w:pPr>
              <w:pStyle w:val="ListParagraph"/>
              <w:numPr>
                <w:ilvl w:val="0"/>
                <w:numId w:val="4"/>
              </w:numPr>
              <w:spacing w:lineRule="auto" w:line="240" w:before="0" w:after="0"/>
              <w:contextualSpacing/>
              <w:rPr/>
            </w:pPr>
            <w:r>
              <w:rPr/>
              <w:t>Knowledge of the range of services offers by Social Care and Health</w:t>
            </w:r>
          </w:p>
          <w:p>
            <w:pPr>
              <w:pStyle w:val="ListParagraph"/>
              <w:spacing w:lineRule="auto" w:line="240" w:before="0" w:after="0"/>
              <w:contextualSpacing/>
              <w:rPr/>
            </w:pPr>
            <w:r>
              <w:rPr/>
            </w:r>
          </w:p>
        </w:tc>
      </w:tr>
    </w:tbl>
    <w:p>
      <w:pPr>
        <w:pStyle w:val="Normal"/>
        <w:tabs>
          <w:tab w:val="clear" w:pos="720"/>
          <w:tab w:val="center" w:pos="4513" w:leader="none"/>
        </w:tabs>
        <w:jc w:val="center"/>
        <w:rPr>
          <w:rFonts w:ascii="Arial" w:hAnsi="Arial" w:eastAsia="Calibri" w:cs="Arial"/>
          <w:b/>
          <w:b/>
          <w:sz w:val="22"/>
          <w:szCs w:val="22"/>
        </w:rPr>
      </w:pPr>
      <w:r>
        <w:rPr>
          <w:rFonts w:eastAsia="Calibri" w:cs="Arial" w:ascii="Arial" w:hAnsi="Arial"/>
          <w:b/>
          <w:sz w:val="22"/>
          <w:szCs w:val="22"/>
        </w:rPr>
      </w:r>
    </w:p>
    <w:p>
      <w:pPr>
        <w:pStyle w:val="Normal"/>
        <w:tabs>
          <w:tab w:val="clear" w:pos="720"/>
          <w:tab w:val="center" w:pos="4513" w:leader="none"/>
        </w:tabs>
        <w:jc w:val="center"/>
        <w:rPr>
          <w:rFonts w:ascii="Arial" w:hAnsi="Arial" w:eastAsia="Calibri" w:cs="Arial"/>
          <w:b/>
          <w:b/>
          <w:sz w:val="22"/>
          <w:szCs w:val="22"/>
        </w:rPr>
      </w:pPr>
      <w:r>
        <w:rPr>
          <w:rFonts w:eastAsia="Calibri" w:cs="Arial" w:ascii="Arial" w:hAnsi="Arial"/>
          <w:b/>
          <w:sz w:val="22"/>
          <w:szCs w:val="22"/>
        </w:rPr>
        <w:t>Our employees’ skills, experience and knowledge are essential to our success along with their happiness, commitment, enthusiasm and motivation to be the best they can be.</w:t>
      </w:r>
    </w:p>
    <w:p>
      <w:pPr>
        <w:pStyle w:val="Normal"/>
        <w:tabs>
          <w:tab w:val="clear" w:pos="720"/>
          <w:tab w:val="center" w:pos="4513" w:leader="none"/>
        </w:tabs>
        <w:jc w:val="center"/>
        <w:rPr>
          <w:rFonts w:ascii="Arial" w:hAnsi="Arial" w:eastAsia="Calibri" w:cs="Arial"/>
          <w:b/>
          <w:b/>
          <w:sz w:val="22"/>
          <w:szCs w:val="22"/>
        </w:rPr>
      </w:pPr>
      <w:r>
        <w:rPr>
          <w:rFonts w:eastAsia="Calibri" w:cs="Arial" w:ascii="Arial" w:hAnsi="Arial"/>
          <w:b/>
          <w:sz w:val="22"/>
          <w:szCs w:val="22"/>
        </w:rPr>
      </w:r>
    </w:p>
    <w:tbl>
      <w:tblPr>
        <w:tblW w:w="9616" w:type="dxa"/>
        <w:jc w:val="left"/>
        <w:tblInd w:w="0" w:type="dxa"/>
        <w:tblCellMar>
          <w:top w:w="0" w:type="dxa"/>
          <w:left w:w="108" w:type="dxa"/>
          <w:bottom w:w="0" w:type="dxa"/>
          <w:right w:w="108" w:type="dxa"/>
        </w:tblCellMar>
      </w:tblPr>
      <w:tblGrid>
        <w:gridCol w:w="9616"/>
      </w:tblGrid>
      <w:tr>
        <w:trPr/>
        <w:tc>
          <w:tcPr>
            <w:tcW w:w="9616" w:type="dxa"/>
            <w:tcBorders>
              <w:top w:val="single" w:sz="18" w:space="0" w:color="FF99FF"/>
              <w:left w:val="single" w:sz="18" w:space="0" w:color="FF99FF"/>
              <w:bottom w:val="single" w:sz="18" w:space="0" w:color="FF99FF"/>
              <w:right w:val="single" w:sz="18" w:space="0" w:color="FF99FF"/>
            </w:tcBorders>
            <w:shd w:fill="FFCCFF" w:val="clear"/>
          </w:tcPr>
          <w:p>
            <w:pPr>
              <w:pStyle w:val="Normal"/>
              <w:spacing w:lineRule="auto" w:line="240" w:before="0" w:after="280"/>
              <w:textAlignment w:val="top"/>
              <w:rPr>
                <w:rFonts w:ascii="Arial" w:hAnsi="Arial" w:cs="Arial"/>
                <w:b/>
                <w:b/>
                <w:bCs/>
                <w:sz w:val="22"/>
                <w:szCs w:val="22"/>
                <w:lang w:eastAsia="en-GB"/>
              </w:rPr>
            </w:pPr>
            <w:r>
              <w:rPr>
                <w:rFonts w:cs="Arial" w:ascii="Arial" w:hAnsi="Arial"/>
                <w:b/>
                <w:bCs/>
                <w:sz w:val="22"/>
                <w:szCs w:val="22"/>
                <w:lang w:eastAsia="en-GB"/>
              </w:rPr>
              <w:t>What can you expect from us?</w:t>
            </w:r>
          </w:p>
          <w:p>
            <w:pPr>
              <w:pStyle w:val="Normal"/>
              <w:numPr>
                <w:ilvl w:val="0"/>
                <w:numId w:val="2"/>
              </w:numPr>
              <w:spacing w:lineRule="auto" w:line="240" w:before="280" w:after="0"/>
              <w:textAlignment w:val="top"/>
              <w:rPr>
                <w:rFonts w:ascii="Arial" w:hAnsi="Arial" w:cs="Arial"/>
                <w:sz w:val="22"/>
                <w:szCs w:val="22"/>
                <w:lang w:eastAsia="en-GB"/>
              </w:rPr>
            </w:pPr>
            <w:r>
              <w:rPr>
                <w:rFonts w:cs="Arial" w:ascii="Arial" w:hAnsi="Arial"/>
                <w:sz w:val="22"/>
                <w:szCs w:val="22"/>
                <w:lang w:eastAsia="en-GB"/>
              </w:rPr>
              <w:t>A fair salary and benefits</w:t>
            </w:r>
          </w:p>
          <w:p>
            <w:pPr>
              <w:pStyle w:val="Normal"/>
              <w:numPr>
                <w:ilvl w:val="0"/>
                <w:numId w:val="2"/>
              </w:numPr>
              <w:spacing w:lineRule="auto" w:line="240" w:before="0" w:after="0"/>
              <w:textAlignment w:val="top"/>
              <w:rPr>
                <w:rFonts w:ascii="Arial" w:hAnsi="Arial" w:cs="Arial"/>
                <w:sz w:val="22"/>
                <w:szCs w:val="22"/>
                <w:lang w:eastAsia="en-GB"/>
              </w:rPr>
            </w:pPr>
            <w:r>
              <w:rPr>
                <w:rFonts w:cs="Arial" w:ascii="Arial" w:hAnsi="Arial"/>
                <w:sz w:val="22"/>
                <w:szCs w:val="22"/>
                <w:lang w:eastAsia="en-GB"/>
              </w:rPr>
              <w:t>Opportunities for good health and wellbeing</w:t>
            </w:r>
          </w:p>
          <w:p>
            <w:pPr>
              <w:pStyle w:val="Normal"/>
              <w:numPr>
                <w:ilvl w:val="0"/>
                <w:numId w:val="2"/>
              </w:numPr>
              <w:spacing w:lineRule="auto" w:line="240" w:before="0" w:after="0"/>
              <w:textAlignment w:val="top"/>
              <w:rPr>
                <w:rFonts w:ascii="Arial" w:hAnsi="Arial" w:cs="Arial"/>
                <w:sz w:val="22"/>
                <w:szCs w:val="22"/>
                <w:lang w:eastAsia="en-GB"/>
              </w:rPr>
            </w:pPr>
            <w:r>
              <w:rPr>
                <w:rFonts w:cs="Arial" w:ascii="Arial" w:hAnsi="Arial"/>
                <w:sz w:val="22"/>
                <w:szCs w:val="22"/>
                <w:lang w:eastAsia="en-GB"/>
              </w:rPr>
              <w:t>Help you to grow, develop and to do your best</w:t>
            </w:r>
          </w:p>
          <w:p>
            <w:pPr>
              <w:pStyle w:val="Normal"/>
              <w:numPr>
                <w:ilvl w:val="0"/>
                <w:numId w:val="2"/>
              </w:numPr>
              <w:spacing w:lineRule="auto" w:line="240" w:before="0" w:after="0"/>
              <w:textAlignment w:val="top"/>
              <w:rPr>
                <w:rFonts w:ascii="Arial" w:hAnsi="Arial" w:cs="Arial"/>
                <w:sz w:val="22"/>
                <w:szCs w:val="22"/>
                <w:lang w:eastAsia="en-GB"/>
              </w:rPr>
            </w:pPr>
            <w:r>
              <w:rPr>
                <w:rFonts w:cs="Arial" w:ascii="Arial" w:hAnsi="Arial"/>
                <w:sz w:val="22"/>
                <w:szCs w:val="22"/>
                <w:lang w:eastAsia="en-GB"/>
              </w:rPr>
              <w:t>Enable you to be creative and innovative</w:t>
            </w:r>
          </w:p>
          <w:p>
            <w:pPr>
              <w:pStyle w:val="Normal"/>
              <w:numPr>
                <w:ilvl w:val="0"/>
                <w:numId w:val="2"/>
              </w:numPr>
              <w:spacing w:lineRule="auto" w:line="240" w:before="0" w:after="0"/>
              <w:textAlignment w:val="top"/>
              <w:rPr>
                <w:rFonts w:ascii="Arial" w:hAnsi="Arial" w:cs="Arial"/>
                <w:sz w:val="22"/>
                <w:szCs w:val="22"/>
                <w:lang w:eastAsia="en-GB"/>
              </w:rPr>
            </w:pPr>
            <w:r>
              <w:rPr>
                <w:rFonts w:cs="Arial" w:ascii="Arial" w:hAnsi="Arial"/>
                <w:sz w:val="22"/>
                <w:szCs w:val="22"/>
                <w:lang w:eastAsia="en-GB"/>
              </w:rPr>
              <w:t>Fully involve you in changes that affect you and your work</w:t>
            </w:r>
          </w:p>
          <w:p>
            <w:pPr>
              <w:pStyle w:val="Normal"/>
              <w:numPr>
                <w:ilvl w:val="0"/>
                <w:numId w:val="2"/>
              </w:numPr>
              <w:spacing w:lineRule="auto" w:line="240" w:before="0" w:after="280"/>
              <w:textAlignment w:val="top"/>
              <w:rPr>
                <w:rFonts w:ascii="Arial" w:hAnsi="Arial" w:cs="Arial"/>
                <w:sz w:val="22"/>
                <w:szCs w:val="22"/>
                <w:lang w:eastAsia="en-GB"/>
              </w:rPr>
            </w:pPr>
            <w:r>
              <w:rPr>
                <w:rFonts w:cs="Arial" w:ascii="Arial" w:hAnsi="Arial"/>
                <w:sz w:val="22"/>
                <w:szCs w:val="22"/>
                <w:lang w:eastAsia="en-GB"/>
              </w:rPr>
              <w:t>Listen, and act on your ideas and feedback</w:t>
            </w:r>
          </w:p>
          <w:p>
            <w:pPr>
              <w:pStyle w:val="Normal"/>
              <w:spacing w:lineRule="auto" w:line="240" w:before="280" w:after="0"/>
              <w:jc w:val="center"/>
              <w:textAlignment w:val="top"/>
              <w:rPr>
                <w:rFonts w:ascii="Arial" w:hAnsi="Arial" w:cs="Arial"/>
                <w:b/>
                <w:b/>
                <w:sz w:val="22"/>
                <w:szCs w:val="22"/>
                <w:lang w:eastAsia="en-GB"/>
              </w:rPr>
            </w:pPr>
            <w:r>
              <w:rPr>
                <w:rFonts w:cs="Arial" w:ascii="Arial" w:hAnsi="Arial"/>
                <w:b/>
                <w:sz w:val="22"/>
                <w:szCs w:val="22"/>
                <w:lang w:eastAsia="en-GB"/>
              </w:rPr>
              <w:t>Working together, we are proud to work for Tameside</w:t>
            </w:r>
          </w:p>
        </w:tc>
      </w:tr>
    </w:tbl>
    <w:p>
      <w:pPr>
        <w:pStyle w:val="Normal"/>
        <w:tabs>
          <w:tab w:val="clear" w:pos="720"/>
          <w:tab w:val="center" w:pos="4513" w:leader="none"/>
        </w:tabs>
        <w:jc w:val="center"/>
        <w:rPr>
          <w:rFonts w:ascii="Arial" w:hAnsi="Arial" w:eastAsia="Calibri" w:cs="Arial"/>
          <w:b/>
          <w:b/>
          <w:sz w:val="22"/>
          <w:szCs w:val="22"/>
        </w:rPr>
      </w:pPr>
      <w:r>
        <w:rPr>
          <w:rFonts w:eastAsia="Calibri" w:cs="Arial" w:ascii="Arial" w:hAnsi="Arial"/>
          <w:b/>
          <w:sz w:val="22"/>
          <w:szCs w:val="22"/>
        </w:rPr>
      </w:r>
    </w:p>
    <w:p>
      <w:pPr>
        <w:pStyle w:val="Normal"/>
        <w:spacing w:lineRule="auto" w:line="276" w:before="0" w:after="120"/>
        <w:jc w:val="both"/>
        <w:rPr/>
      </w:pPr>
      <w:r>
        <w:rPr>
          <w:rFonts w:eastAsia="Calibri" w:cs="Arial" w:ascii="Arial" w:hAnsi="Arial"/>
          <w:sz w:val="22"/>
          <w:szCs w:val="22"/>
        </w:rPr>
        <w:t xml:space="preserve">Our </w:t>
      </w:r>
      <w:r>
        <w:rPr>
          <w:rFonts w:eastAsia="Calibri" w:cs="Arial" w:ascii="Arial" w:hAnsi="Arial"/>
          <w:b/>
          <w:color w:val="0070C0"/>
          <w:sz w:val="22"/>
          <w:szCs w:val="22"/>
        </w:rPr>
        <w:t>S</w:t>
      </w:r>
      <w:r>
        <w:rPr>
          <w:rFonts w:eastAsia="Calibri" w:cs="Arial" w:ascii="Arial" w:hAnsi="Arial"/>
          <w:b/>
          <w:color w:val="FF3399"/>
          <w:sz w:val="22"/>
          <w:szCs w:val="22"/>
        </w:rPr>
        <w:t>T</w:t>
      </w:r>
      <w:r>
        <w:rPr>
          <w:rFonts w:eastAsia="Calibri" w:cs="Arial" w:ascii="Arial" w:hAnsi="Arial"/>
          <w:b/>
          <w:color w:val="00B0F0"/>
          <w:sz w:val="22"/>
          <w:szCs w:val="22"/>
        </w:rPr>
        <w:t>R</w:t>
      </w:r>
      <w:r>
        <w:rPr>
          <w:rFonts w:eastAsia="Calibri" w:cs="Arial" w:ascii="Arial" w:hAnsi="Arial"/>
          <w:b/>
          <w:color w:val="92D050"/>
          <w:sz w:val="22"/>
          <w:szCs w:val="22"/>
        </w:rPr>
        <w:t>I</w:t>
      </w:r>
      <w:r>
        <w:rPr>
          <w:rFonts w:eastAsia="Calibri" w:cs="Arial" w:ascii="Arial" w:hAnsi="Arial"/>
          <w:b/>
          <w:color w:val="FFD966"/>
          <w:sz w:val="22"/>
          <w:szCs w:val="22"/>
        </w:rPr>
        <w:t>V</w:t>
      </w:r>
      <w:r>
        <w:rPr>
          <w:rFonts w:eastAsia="Calibri" w:cs="Arial" w:ascii="Arial" w:hAnsi="Arial"/>
          <w:b/>
          <w:color w:val="FFC000"/>
          <w:sz w:val="22"/>
          <w:szCs w:val="22"/>
        </w:rPr>
        <w:t>E</w:t>
      </w:r>
      <w:r>
        <w:rPr>
          <w:rFonts w:eastAsia="Calibri" w:cs="Arial" w:ascii="Arial" w:hAnsi="Arial"/>
          <w:sz w:val="22"/>
          <w:szCs w:val="22"/>
        </w:rPr>
        <w:t xml:space="preserve"> values underpin our practice and behaviours and are at the heart of everything that we do:</w:t>
      </w:r>
    </w:p>
    <w:p>
      <w:pPr>
        <w:pStyle w:val="Normal"/>
        <w:spacing w:lineRule="auto" w:line="276" w:before="0" w:after="120"/>
        <w:jc w:val="both"/>
        <w:rPr/>
      </w:pPr>
      <w:r>
        <w:rPr/>
        <w:drawing>
          <wp:inline distT="0" distB="0" distL="0" distR="0">
            <wp:extent cx="6107430" cy="574040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2" t="-2" r="-2" b="-2"/>
                    <a:stretch>
                      <a:fillRect/>
                    </a:stretch>
                  </pic:blipFill>
                  <pic:spPr bwMode="auto">
                    <a:xfrm>
                      <a:off x="0" y="0"/>
                      <a:ext cx="6107430" cy="5740400"/>
                    </a:xfrm>
                    <a:prstGeom prst="rect">
                      <a:avLst/>
                    </a:prstGeom>
                  </pic:spPr>
                </pic:pic>
              </a:graphicData>
            </a:graphic>
          </wp:inline>
        </w:drawing>
      </w:r>
    </w:p>
    <w:sectPr>
      <w:headerReference w:type="default" r:id="rId3"/>
      <w:footerReference w:type="default" r:id="rId4"/>
      <w:type w:val="nextPage"/>
      <w:pgSz w:w="11906" w:h="16838"/>
      <w:pgMar w:left="1440" w:right="849" w:header="708" w:top="1701" w:footer="708"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Tahoma">
    <w:charset w:val="00"/>
    <w:family w:val="roman"/>
    <w:pitch w:val="variable"/>
  </w:font>
  <w:font w:name="Segoe UI">
    <w:charset w:val="00"/>
    <w:family w:val="roman"/>
    <w:pitch w:val="variable"/>
  </w:font>
  <w:font w:name="Liberation Sans">
    <w:altName w:val="Arial"/>
    <w:charset w:val="00"/>
    <w:family w:val="swiss"/>
    <w:pitch w:val="variable"/>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rFonts w:ascii="Arial" w:hAnsi="Arial" w:cs="Arial"/>
        <w:sz w:val="22"/>
        <w:szCs w:val="22"/>
      </w:rPr>
    </w:pPr>
    <w:r>
      <w:rPr>
        <w:rFonts w:cs="Arial" w:ascii="Arial" w:hAnsi="Arial"/>
        <w:sz w:val="22"/>
        <w:szCs w:val="22"/>
      </w:rPr>
      <w:fldChar w:fldCharType="begin"/>
    </w:r>
    <w:r>
      <w:rPr>
        <w:sz w:val="22"/>
        <w:szCs w:val="22"/>
        <w:rFonts w:cs="Arial" w:ascii="Arial" w:hAnsi="Arial"/>
      </w:rPr>
      <w:instrText> PAGE </w:instrText>
    </w:r>
    <w:r>
      <w:rPr>
        <w:sz w:val="22"/>
        <w:szCs w:val="22"/>
        <w:rFonts w:cs="Arial" w:ascii="Arial" w:hAnsi="Arial"/>
      </w:rPr>
      <w:fldChar w:fldCharType="separate"/>
    </w:r>
    <w:r>
      <w:rPr>
        <w:sz w:val="22"/>
        <w:szCs w:val="22"/>
        <w:rFonts w:cs="Arial" w:ascii="Arial" w:hAnsi="Arial"/>
      </w:rPr>
      <w:t>5</w:t>
    </w:r>
    <w:r>
      <w:rPr>
        <w:sz w:val="22"/>
        <w:szCs w:val="22"/>
        <w:rFonts w:cs="Arial" w:ascii="Arial" w:hAnsi="Arial"/>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9606" w:type="dxa"/>
      <w:jc w:val="left"/>
      <w:tblInd w:w="0" w:type="dxa"/>
      <w:tblCellMar>
        <w:top w:w="0" w:type="dxa"/>
        <w:left w:w="108" w:type="dxa"/>
        <w:bottom w:w="0" w:type="dxa"/>
        <w:right w:w="108" w:type="dxa"/>
      </w:tblCellMar>
    </w:tblPr>
    <w:tblGrid>
      <w:gridCol w:w="4803"/>
      <w:gridCol w:w="4803"/>
    </w:tblGrid>
    <w:tr>
      <w:trPr/>
      <w:tc>
        <w:tcPr>
          <w:tcW w:w="4803" w:type="dxa"/>
          <w:tcBorders/>
          <w:shd w:fill="auto" w:val="clear"/>
        </w:tcPr>
        <w:p>
          <w:pPr>
            <w:pStyle w:val="Header"/>
            <w:spacing w:lineRule="auto" w:line="240" w:before="0" w:after="0"/>
            <w:rPr/>
          </w:pPr>
          <w:r>
            <w:rPr/>
            <w:drawing>
              <wp:inline distT="0" distB="0" distL="0" distR="0">
                <wp:extent cx="2141220" cy="549275"/>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1"/>
                        <a:srcRect l="-7" t="-34" r="-7" b="-34"/>
                        <a:stretch>
                          <a:fillRect/>
                        </a:stretch>
                      </pic:blipFill>
                      <pic:spPr bwMode="auto">
                        <a:xfrm>
                          <a:off x="0" y="0"/>
                          <a:ext cx="2141220" cy="549275"/>
                        </a:xfrm>
                        <a:prstGeom prst="rect">
                          <a:avLst/>
                        </a:prstGeom>
                      </pic:spPr>
                    </pic:pic>
                  </a:graphicData>
                </a:graphic>
              </wp:inline>
            </w:drawing>
          </w:r>
        </w:p>
      </w:tc>
      <w:tc>
        <w:tcPr>
          <w:tcW w:w="4803" w:type="dxa"/>
          <w:tcBorders/>
          <w:shd w:fill="auto" w:val="clear"/>
        </w:tcPr>
        <w:p>
          <w:pPr>
            <w:pStyle w:val="Header"/>
            <w:spacing w:lineRule="auto" w:line="240" w:before="0" w:after="0"/>
            <w:jc w:val="right"/>
            <w:rPr/>
          </w:pPr>
          <w:r>
            <w:rPr/>
            <w:drawing>
              <wp:inline distT="0" distB="0" distL="0" distR="0">
                <wp:extent cx="2294255" cy="625475"/>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2"/>
                        <a:srcRect l="-13" t="-37" r="-13" b="-37"/>
                        <a:stretch>
                          <a:fillRect/>
                        </a:stretch>
                      </pic:blipFill>
                      <pic:spPr bwMode="auto">
                        <a:xfrm>
                          <a:off x="0" y="0"/>
                          <a:ext cx="2294255" cy="625475"/>
                        </a:xfrm>
                        <a:prstGeom prst="rect">
                          <a:avLst/>
                        </a:prstGeom>
                      </pic:spPr>
                    </pic:pic>
                  </a:graphicData>
                </a:graphic>
              </wp:inline>
            </w:drawing>
          </w:r>
        </w:p>
      </w:tc>
    </w:tr>
  </w:tbl>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pStyle w:val="Heading6"/>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tabs>
          <w:tab w:val="num" w:pos="720"/>
        </w:tabs>
        <w:ind w:left="720" w:hanging="360"/>
      </w:pPr>
      <w:rPr>
        <w:rFonts w:ascii="Symbol" w:hAnsi="Symbol" w:cs="Symbol" w:hint="default"/>
        <w:sz w:val="22"/>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3">
    <w:lvl w:ilvl="0">
      <w:start w:val="1"/>
      <w:numFmt w:val="bullet"/>
      <w:lvlText w:val=""/>
      <w:lvlJc w:val="left"/>
      <w:pPr>
        <w:ind w:left="780" w:hanging="360"/>
      </w:pPr>
      <w:rPr>
        <w:rFonts w:ascii="Symbol" w:hAnsi="Symbol" w:cs="Symbol" w:hint="default"/>
        <w:rFonts w:cs="Symbol"/>
      </w:rPr>
    </w:lvl>
    <w:lvl w:ilvl="1">
      <w:start w:val="1"/>
      <w:numFmt w:val="bullet"/>
      <w:lvlText w:val="o"/>
      <w:lvlJc w:val="left"/>
      <w:pPr>
        <w:ind w:left="1500" w:hanging="360"/>
      </w:pPr>
      <w:rPr>
        <w:rFonts w:ascii="Courier New" w:hAnsi="Courier New" w:cs="Courier New" w:hint="default"/>
        <w:rFonts w:cs="Courier New"/>
      </w:rPr>
    </w:lvl>
    <w:lvl w:ilvl="2">
      <w:start w:val="1"/>
      <w:numFmt w:val="bullet"/>
      <w:lvlText w:val=""/>
      <w:lvlJc w:val="left"/>
      <w:pPr>
        <w:ind w:left="2220" w:hanging="360"/>
      </w:pPr>
      <w:rPr>
        <w:rFonts w:ascii="Wingdings" w:hAnsi="Wingdings" w:cs="Wingdings" w:hint="default"/>
        <w:rFonts w:cs="Wingdings"/>
      </w:rPr>
    </w:lvl>
    <w:lvl w:ilvl="3">
      <w:start w:val="1"/>
      <w:numFmt w:val="bullet"/>
      <w:lvlText w:val=""/>
      <w:lvlJc w:val="left"/>
      <w:pPr>
        <w:ind w:left="2940" w:hanging="360"/>
      </w:pPr>
      <w:rPr>
        <w:rFonts w:ascii="Symbol" w:hAnsi="Symbol" w:cs="Symbol" w:hint="default"/>
        <w:rFonts w:cs="Symbol"/>
      </w:rPr>
    </w:lvl>
    <w:lvl w:ilvl="4">
      <w:start w:val="1"/>
      <w:numFmt w:val="bullet"/>
      <w:lvlText w:val="o"/>
      <w:lvlJc w:val="left"/>
      <w:pPr>
        <w:ind w:left="3660" w:hanging="360"/>
      </w:pPr>
      <w:rPr>
        <w:rFonts w:ascii="Courier New" w:hAnsi="Courier New" w:cs="Courier New" w:hint="default"/>
        <w:rFonts w:cs="Courier New"/>
      </w:rPr>
    </w:lvl>
    <w:lvl w:ilvl="5">
      <w:start w:val="1"/>
      <w:numFmt w:val="bullet"/>
      <w:lvlText w:val=""/>
      <w:lvlJc w:val="left"/>
      <w:pPr>
        <w:ind w:left="4380" w:hanging="360"/>
      </w:pPr>
      <w:rPr>
        <w:rFonts w:ascii="Wingdings" w:hAnsi="Wingdings" w:cs="Wingdings" w:hint="default"/>
        <w:rFonts w:cs="Wingdings"/>
      </w:rPr>
    </w:lvl>
    <w:lvl w:ilvl="6">
      <w:start w:val="1"/>
      <w:numFmt w:val="bullet"/>
      <w:lvlText w:val=""/>
      <w:lvlJc w:val="left"/>
      <w:pPr>
        <w:ind w:left="5100" w:hanging="360"/>
      </w:pPr>
      <w:rPr>
        <w:rFonts w:ascii="Symbol" w:hAnsi="Symbol" w:cs="Symbol" w:hint="default"/>
        <w:rFonts w:cs="Symbol"/>
      </w:rPr>
    </w:lvl>
    <w:lvl w:ilvl="7">
      <w:start w:val="1"/>
      <w:numFmt w:val="bullet"/>
      <w:lvlText w:val="o"/>
      <w:lvlJc w:val="left"/>
      <w:pPr>
        <w:ind w:left="5820" w:hanging="360"/>
      </w:pPr>
      <w:rPr>
        <w:rFonts w:ascii="Courier New" w:hAnsi="Courier New" w:cs="Courier New" w:hint="default"/>
        <w:rFonts w:cs="Courier New"/>
      </w:rPr>
    </w:lvl>
    <w:lvl w:ilvl="8">
      <w:start w:val="1"/>
      <w:numFmt w:val="bullet"/>
      <w:lvlText w:val=""/>
      <w:lvlJc w:val="left"/>
      <w:pPr>
        <w:ind w:left="6540" w:hanging="360"/>
      </w:pPr>
      <w:rPr>
        <w:rFonts w:ascii="Wingdings" w:hAnsi="Wingdings" w:cs="Wingdings" w:hint="default"/>
        <w:rFonts w:cs="Wingdings"/>
      </w:rPr>
    </w:lvl>
  </w:abstractNum>
  <w:abstractNum w:abstractNumId="4">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40" w:before="0" w:after="0"/>
      <w:jc w:val="left"/>
    </w:pPr>
    <w:rPr>
      <w:rFonts w:ascii="Times New Roman" w:hAnsi="Times New Roman" w:eastAsia="Times New Roman" w:cs="Times New Roman"/>
      <w:color w:val="auto"/>
      <w:kern w:val="0"/>
      <w:sz w:val="20"/>
      <w:szCs w:val="20"/>
      <w:lang w:val="en-GB" w:eastAsia="en-US" w:bidi="ar-SA"/>
    </w:rPr>
  </w:style>
  <w:style w:type="paragraph" w:styleId="Heading6">
    <w:name w:val="Heading 6"/>
    <w:basedOn w:val="Normal"/>
    <w:next w:val="Normal"/>
    <w:qFormat/>
    <w:pPr>
      <w:numPr>
        <w:ilvl w:val="5"/>
        <w:numId w:val="1"/>
      </w:numPr>
      <w:spacing w:before="240" w:after="60"/>
      <w:outlineLvl w:val="5"/>
    </w:pPr>
    <w:rPr>
      <w:b/>
      <w:bCs/>
      <w:sz w:val="22"/>
      <w:szCs w:val="22"/>
    </w:rPr>
  </w:style>
  <w:style w:type="character" w:styleId="WW8Num1z0">
    <w:name w:val="WW8Num1z0"/>
    <w:qFormat/>
    <w:rPr>
      <w:rFonts w:ascii="Symbol" w:hAnsi="Symbol" w:cs="Symbol"/>
      <w:sz w:val="22"/>
    </w:rPr>
  </w:style>
  <w:style w:type="character" w:styleId="WW8Num1z1">
    <w:name w:val="WW8Num1z1"/>
    <w:qFormat/>
    <w:rPr>
      <w:rFonts w:ascii="Courier New" w:hAnsi="Courier New" w:cs="Courier New"/>
      <w:sz w:val="20"/>
    </w:rPr>
  </w:style>
  <w:style w:type="character" w:styleId="WW8Num1z2">
    <w:name w:val="WW8Num1z2"/>
    <w:qFormat/>
    <w:rPr>
      <w:rFonts w:ascii="Wingdings" w:hAnsi="Wingdings" w:cs="Wingdings"/>
      <w:sz w:val="20"/>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DefaultParagraphFont">
    <w:name w:val="Default Paragraph Font"/>
    <w:qFormat/>
    <w:rPr/>
  </w:style>
  <w:style w:type="character" w:styleId="FooterChar">
    <w:name w:val="Footer Char"/>
    <w:basedOn w:val="DefaultParagraphFont"/>
    <w:qFormat/>
    <w:rPr>
      <w:rFonts w:ascii="Times New Roman" w:hAnsi="Times New Roman" w:eastAsia="Times New Roman" w:cs="Times New Roman"/>
      <w:sz w:val="20"/>
      <w:szCs w:val="20"/>
    </w:rPr>
  </w:style>
  <w:style w:type="character" w:styleId="InternetLink">
    <w:name w:val="Internet Link"/>
    <w:rPr>
      <w:color w:val="0000FF"/>
      <w:u w:val="single"/>
    </w:rPr>
  </w:style>
  <w:style w:type="character" w:styleId="TitleChar">
    <w:name w:val="Title Char"/>
    <w:basedOn w:val="DefaultParagraphFont"/>
    <w:qFormat/>
    <w:rPr>
      <w:rFonts w:ascii="Tahoma" w:hAnsi="Tahoma" w:eastAsia="Times New Roman" w:cs="Times New Roman"/>
      <w:b/>
      <w:bCs/>
      <w:szCs w:val="24"/>
      <w:u w:val="single"/>
    </w:rPr>
  </w:style>
  <w:style w:type="character" w:styleId="Heading6Char">
    <w:name w:val="Heading 6 Char"/>
    <w:basedOn w:val="DefaultParagraphFont"/>
    <w:qFormat/>
    <w:rPr>
      <w:rFonts w:ascii="Times New Roman" w:hAnsi="Times New Roman" w:eastAsia="Times New Roman" w:cs="Times New Roman"/>
      <w:b/>
      <w:bCs/>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rFonts w:ascii="Times New Roman" w:hAnsi="Times New Roman" w:eastAsia="Times New Roman" w:cs="Times New Roman"/>
      <w:sz w:val="20"/>
      <w:szCs w:val="20"/>
    </w:rPr>
  </w:style>
  <w:style w:type="character" w:styleId="CommentSubjectChar">
    <w:name w:val="Comment Subject Char"/>
    <w:basedOn w:val="CommentTextChar"/>
    <w:qFormat/>
    <w:rPr>
      <w:rFonts w:ascii="Times New Roman" w:hAnsi="Times New Roman" w:eastAsia="Times New Roman" w:cs="Times New Roman"/>
      <w:b/>
      <w:bCs/>
      <w:sz w:val="20"/>
      <w:szCs w:val="20"/>
    </w:rPr>
  </w:style>
  <w:style w:type="character" w:styleId="BalloonTextChar">
    <w:name w:val="Balloon Text Char"/>
    <w:basedOn w:val="DefaultParagraphFont"/>
    <w:qFormat/>
    <w:rPr>
      <w:rFonts w:ascii="Segoe UI" w:hAnsi="Segoe UI" w:eastAsia="Times New Roman" w:cs="Segoe UI"/>
      <w:sz w:val="18"/>
      <w:szCs w:val="18"/>
    </w:rPr>
  </w:style>
  <w:style w:type="character" w:styleId="BodyTextChar">
    <w:name w:val="Body Text Char"/>
    <w:basedOn w:val="DefaultParagraphFont"/>
    <w:qFormat/>
    <w:rPr>
      <w:rFonts w:ascii="Arial" w:hAnsi="Arial" w:eastAsia="Times New Roman" w:cs="Times New Roman"/>
      <w:b/>
      <w:bCs/>
      <w:sz w:val="24"/>
      <w:szCs w:val="24"/>
    </w:rPr>
  </w:style>
  <w:style w:type="character" w:styleId="HeaderChar">
    <w:name w:val="Header Char"/>
    <w:basedOn w:val="DefaultParagraphFont"/>
    <w:qFormat/>
    <w:rPr>
      <w:rFonts w:ascii="Times New Roman" w:hAnsi="Times New Roman" w:eastAsia="Times New Roman" w:cs="Times New Roman"/>
      <w:sz w:val="20"/>
      <w:szCs w:val="20"/>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rFonts w:ascii="Arial" w:hAnsi="Arial" w:cs="Arial"/>
      <w:b/>
      <w:bCs/>
      <w:sz w:val="24"/>
      <w:szCs w:val="24"/>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Footer">
    <w:name w:val="Footer"/>
    <w:basedOn w:val="Normal"/>
    <w:pPr>
      <w:tabs>
        <w:tab w:val="clear" w:pos="720"/>
        <w:tab w:val="center" w:pos="4153" w:leader="none"/>
        <w:tab w:val="right" w:pos="8306" w:leader="none"/>
      </w:tabs>
    </w:pPr>
    <w:rPr/>
  </w:style>
  <w:style w:type="paragraph" w:styleId="ListParagraph">
    <w:name w:val="List Paragraph"/>
    <w:basedOn w:val="Normal"/>
    <w:qFormat/>
    <w:pPr>
      <w:spacing w:lineRule="auto" w:line="276" w:before="0" w:after="200"/>
      <w:ind w:left="720" w:right="0" w:hanging="0"/>
      <w:contextualSpacing/>
    </w:pPr>
    <w:rPr>
      <w:rFonts w:ascii="Arial" w:hAnsi="Arial" w:eastAsia="Calibri" w:cs="Arial"/>
      <w:sz w:val="22"/>
      <w:szCs w:val="22"/>
    </w:rPr>
  </w:style>
  <w:style w:type="paragraph" w:styleId="NoSpacing">
    <w:name w:val="No Spacing"/>
    <w:qFormat/>
    <w:pPr>
      <w:widowControl/>
      <w:suppressAutoHyphens w:val="true"/>
      <w:bidi w:val="0"/>
      <w:spacing w:lineRule="auto" w:line="240" w:before="0" w:after="0"/>
      <w:jc w:val="left"/>
    </w:pPr>
    <w:rPr>
      <w:rFonts w:ascii="Calibri" w:hAnsi="Calibri" w:eastAsia="Calibri" w:cs=""/>
      <w:color w:val="auto"/>
      <w:kern w:val="0"/>
      <w:sz w:val="20"/>
      <w:szCs w:val="22"/>
      <w:lang w:val="en-GB" w:eastAsia="en-US" w:bidi="ar-SA"/>
    </w:rPr>
  </w:style>
  <w:style w:type="paragraph" w:styleId="Title">
    <w:name w:val="Title"/>
    <w:basedOn w:val="Normal"/>
    <w:next w:val="TextBody"/>
    <w:qFormat/>
    <w:pPr>
      <w:jc w:val="center"/>
    </w:pPr>
    <w:rPr>
      <w:rFonts w:ascii="Tahoma" w:hAnsi="Tahoma" w:cs="Tahoma"/>
      <w:b/>
      <w:bCs/>
      <w:sz w:val="22"/>
      <w:szCs w:val="24"/>
      <w:u w:val="single"/>
    </w:rPr>
  </w:style>
  <w:style w:type="paragraph" w:styleId="Annotationtext">
    <w:name w:val="annotation text"/>
    <w:basedOn w:val="Normal"/>
    <w:qFormat/>
    <w:pPr/>
    <w:rPr/>
  </w:style>
  <w:style w:type="paragraph" w:styleId="Annotationsubject">
    <w:name w:val="annotation subject"/>
    <w:basedOn w:val="Annotationtext"/>
    <w:next w:val="Annotationtext"/>
    <w:qFormat/>
    <w:pPr/>
    <w:rPr>
      <w:b/>
      <w:bCs/>
    </w:rPr>
  </w:style>
  <w:style w:type="paragraph" w:styleId="BalloonText">
    <w:name w:val="Balloon Text"/>
    <w:basedOn w:val="Normal"/>
    <w:qFormat/>
    <w:pPr/>
    <w:rPr>
      <w:rFonts w:ascii="Segoe UI" w:hAnsi="Segoe UI" w:cs="Segoe UI"/>
      <w:sz w:val="18"/>
      <w:szCs w:val="18"/>
    </w:rPr>
  </w:style>
  <w:style w:type="paragraph" w:styleId="Default">
    <w:name w:val="Default"/>
    <w:qFormat/>
    <w:pPr>
      <w:widowControl/>
      <w:suppressAutoHyphens w:val="true"/>
      <w:bidi w:val="0"/>
      <w:spacing w:lineRule="auto" w:line="240" w:before="0" w:after="0"/>
      <w:jc w:val="left"/>
    </w:pPr>
    <w:rPr>
      <w:rFonts w:ascii="Arial" w:hAnsi="Arial" w:eastAsia="Calibri" w:cs="Arial"/>
      <w:color w:val="000000"/>
      <w:kern w:val="0"/>
      <w:sz w:val="24"/>
      <w:szCs w:val="24"/>
      <w:lang w:val="en-GB" w:eastAsia="en-US" w:bidi="ar-SA"/>
    </w:rPr>
  </w:style>
  <w:style w:type="paragraph" w:styleId="Header">
    <w:name w:val="Header"/>
    <w:basedOn w:val="Normal"/>
    <w:pPr>
      <w:tabs>
        <w:tab w:val="clear" w:pos="720"/>
        <w:tab w:val="center" w:pos="4513" w:leader="none"/>
        <w:tab w:val="right" w:pos="9026" w:leader="none"/>
      </w:tabs>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2.jpeg"/><Relationship Id="rId2" Type="http://schemas.openxmlformats.org/officeDocument/2006/relationships/image" Target="media/image3.jpeg"/>
</Relationships>
</file>

<file path=docProps/app.xml><?xml version="1.0" encoding="utf-8"?>
<Properties xmlns="http://schemas.openxmlformats.org/officeDocument/2006/extended-properties" xmlns:vt="http://schemas.openxmlformats.org/officeDocument/2006/docPropsVTypes">
  <Template>Normal</Template>
  <TotalTime>2</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4</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