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color w:val="44494E"/>
          <w:sz w:val="40"/>
          <w:szCs w:val="40"/>
        </w:rPr>
      </w:pPr>
      <w:r>
        <w:rPr/>
        <w:drawing>
          <wp:inline distT="0" distB="0" distL="0" distR="0">
            <wp:extent cx="1518920" cy="17557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13" r="-15" b="-13"/>
                    <a:stretch>
                      <a:fillRect/>
                    </a:stretch>
                  </pic:blipFill>
                  <pic:spPr bwMode="auto">
                    <a:xfrm>
                      <a:off x="0" y="0"/>
                      <a:ext cx="1518920" cy="1755775"/>
                    </a:xfrm>
                    <a:prstGeom prst="rect">
                      <a:avLst/>
                    </a:prstGeom>
                  </pic:spPr>
                </pic:pic>
              </a:graphicData>
            </a:graphic>
          </wp:inline>
        </w:drawing>
      </w:r>
    </w:p>
    <w:p>
      <w:pPr>
        <w:pStyle w:val="Normal"/>
        <w:pBdr>
          <w:bottom w:val="single" w:sz="12" w:space="1" w:color="000000"/>
        </w:pBdr>
        <w:spacing w:lineRule="auto" w:line="240" w:before="0" w:after="0"/>
        <w:jc w:val="center"/>
        <w:rPr>
          <w:rFonts w:ascii="Arial" w:hAnsi="Arial" w:cs="Arial"/>
          <w:b/>
          <w:b/>
          <w:color w:val="44494E"/>
          <w:sz w:val="40"/>
          <w:szCs w:val="40"/>
        </w:rPr>
      </w:pPr>
      <w:r>
        <w:rPr>
          <w:rFonts w:cs="Arial" w:ascii="Arial" w:hAnsi="Arial"/>
          <w:b/>
          <w:color w:val="44494E"/>
          <w:sz w:val="40"/>
          <w:szCs w:val="40"/>
        </w:rPr>
        <w:t>Job Description &amp; Person Specification</w:t>
      </w:r>
    </w:p>
    <w:p>
      <w:pPr>
        <w:pStyle w:val="Normal"/>
        <w:pBdr>
          <w:bottom w:val="single" w:sz="12" w:space="1" w:color="000000"/>
        </w:pBdr>
        <w:spacing w:lineRule="auto" w:line="240" w:before="0" w:after="0"/>
        <w:jc w:val="center"/>
        <w:rPr>
          <w:rFonts w:ascii="Arial" w:hAnsi="Arial" w:cs="Arial"/>
          <w:b/>
          <w:b/>
          <w:color w:val="44494E"/>
          <w:sz w:val="16"/>
          <w:szCs w:val="40"/>
        </w:rPr>
      </w:pPr>
      <w:r>
        <w:rPr>
          <w:rFonts w:cs="Arial" w:ascii="Arial" w:hAnsi="Arial"/>
          <w:b/>
          <w:color w:val="44494E"/>
          <w:sz w:val="16"/>
          <w:szCs w:val="40"/>
        </w:rPr>
      </w:r>
    </w:p>
    <w:p>
      <w:pPr>
        <w:pStyle w:val="Normal"/>
        <w:spacing w:lineRule="auto" w:line="240" w:before="0" w:after="0"/>
        <w:rPr>
          <w:rFonts w:ascii="Arial" w:hAnsi="Arial" w:cs="Arial"/>
          <w:b/>
          <w:b/>
          <w:color w:val="44494E"/>
          <w:sz w:val="16"/>
          <w:szCs w:val="40"/>
        </w:rPr>
      </w:pPr>
      <w:r>
        <w:rPr>
          <w:rFonts w:cs="Arial" w:ascii="Arial" w:hAnsi="Arial"/>
          <w:b/>
          <w:color w:val="44494E"/>
          <w:sz w:val="16"/>
          <w:szCs w:val="40"/>
        </w:rPr>
      </w:r>
    </w:p>
    <w:p>
      <w:pPr>
        <w:pStyle w:val="Normal"/>
        <w:spacing w:lineRule="auto" w:line="240" w:before="0" w:after="0"/>
        <w:rPr/>
      </w:pPr>
      <w:r>
        <w:rPr>
          <w:rFonts w:cs="Arial" w:ascii="Arial" w:hAnsi="Arial"/>
          <w:b/>
          <w:color w:val="44494E"/>
        </w:rPr>
        <w:t xml:space="preserve">Job Title: </w:t>
      </w:r>
      <w:r>
        <w:rPr>
          <w:rFonts w:cs="Arial" w:ascii="Arial" w:hAnsi="Arial"/>
          <w:color w:val="44494E"/>
        </w:rPr>
        <w:t>Chief Operating Officer</w:t>
      </w:r>
      <w:r>
        <w:rPr>
          <w:rFonts w:cs="Arial" w:ascii="Arial" w:hAnsi="Arial"/>
          <w:b/>
          <w:color w:val="44494E"/>
        </w:rPr>
        <w:t xml:space="preserve"> </w:t>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pPr>
      <w:r>
        <w:rPr>
          <w:rFonts w:cs="Arial" w:ascii="Arial" w:hAnsi="Arial"/>
          <w:b/>
          <w:color w:val="44494E"/>
        </w:rPr>
        <w:t>Scale:</w:t>
        <w:tab/>
      </w:r>
      <w:r>
        <w:rPr>
          <w:rFonts w:cs="Arial" w:ascii="Arial" w:hAnsi="Arial"/>
          <w:color w:val="44494E"/>
        </w:rPr>
        <w:t>Leadership Payscale</w:t>
      </w:r>
      <w:r>
        <w:rPr>
          <w:rFonts w:cs="Arial" w:ascii="Arial" w:hAnsi="Arial"/>
          <w:b/>
          <w:color w:val="44494E"/>
        </w:rPr>
        <w:tab/>
      </w:r>
    </w:p>
    <w:p>
      <w:pPr>
        <w:pStyle w:val="Normal"/>
        <w:pBdr>
          <w:bottom w:val="single" w:sz="12" w:space="1" w:color="000000"/>
        </w:pBdr>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t xml:space="preserve">Job Purpose: </w:t>
      </w:r>
    </w:p>
    <w:p>
      <w:pPr>
        <w:pStyle w:val="Normal"/>
        <w:spacing w:lineRule="auto" w:line="240" w:before="0" w:after="0"/>
        <w:rPr>
          <w:rFonts w:ascii="Arial" w:hAnsi="Arial" w:cs="Arial"/>
          <w:b/>
          <w:b/>
          <w:color w:val="44494E"/>
        </w:rPr>
      </w:pPr>
      <w:r>
        <w:rPr>
          <w:rFonts w:cs="Arial" w:ascii="Arial" w:hAnsi="Arial"/>
          <w:b/>
          <w:color w:val="44494E"/>
        </w:rPr>
      </w:r>
    </w:p>
    <w:p>
      <w:pPr>
        <w:pStyle w:val="ListParagraph"/>
        <w:numPr>
          <w:ilvl w:val="0"/>
          <w:numId w:val="6"/>
        </w:numPr>
        <w:spacing w:lineRule="auto" w:line="240" w:before="0" w:after="0"/>
        <w:contextualSpacing/>
        <w:rPr/>
      </w:pPr>
      <w:r>
        <w:rPr>
          <w:rFonts w:cs="Arial" w:ascii="Arial" w:hAnsi="Arial"/>
          <w:color w:val="44494E"/>
        </w:rPr>
        <w:t>Strategic and operation</w:t>
      </w:r>
      <w:bookmarkStart w:id="0" w:name="_GoBack"/>
      <w:bookmarkEnd w:id="0"/>
      <w:r>
        <w:rPr>
          <w:rFonts w:cs="Arial" w:ascii="Arial" w:hAnsi="Arial"/>
          <w:color w:val="44494E"/>
        </w:rPr>
        <w:t xml:space="preserve">al leadership ensuring the Trust and its schools operate efficiently, compliantly and sustainably. </w:t>
      </w:r>
    </w:p>
    <w:p>
      <w:pPr>
        <w:pStyle w:val="Normal"/>
        <w:pBdr>
          <w:bottom w:val="single" w:sz="12" w:space="1" w:color="000000"/>
        </w:pBdr>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t xml:space="preserve">Reporting Arrangements </w:t>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pPr>
      <w:r>
        <w:rPr>
          <w:rFonts w:cs="Arial" w:ascii="Arial" w:hAnsi="Arial"/>
          <w:b/>
          <w:color w:val="44494E"/>
        </w:rPr>
        <w:t xml:space="preserve">Reporting to: </w:t>
      </w:r>
      <w:r>
        <w:rPr>
          <w:rFonts w:cs="Arial" w:ascii="Arial" w:hAnsi="Arial"/>
          <w:color w:val="44494E"/>
        </w:rPr>
        <w:t>Executive &amp; Trust Board</w:t>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pPr>
      <w:r>
        <w:rPr>
          <w:rFonts w:cs="Arial" w:ascii="Arial" w:hAnsi="Arial"/>
          <w:b/>
          <w:color w:val="44494E"/>
        </w:rPr>
        <w:t xml:space="preserve">Accountable for: </w:t>
      </w:r>
      <w:r>
        <w:rPr>
          <w:rFonts w:cs="Arial" w:ascii="Arial" w:hAnsi="Arial"/>
          <w:color w:val="44494E"/>
        </w:rPr>
        <w:t>Communications, Estates, Community Development, Compliance, Growth Project Management</w:t>
      </w:r>
    </w:p>
    <w:p>
      <w:pPr>
        <w:pStyle w:val="Normal"/>
        <w:pBdr>
          <w:bottom w:val="single" w:sz="12" w:space="1" w:color="000000"/>
        </w:pBdr>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jc w:val="both"/>
        <w:rPr>
          <w:rFonts w:ascii="Arial" w:hAnsi="Arial" w:cs="Arial"/>
          <w:b/>
          <w:b/>
          <w:color w:val="44494E"/>
        </w:rPr>
      </w:pPr>
      <w:r>
        <w:rPr>
          <w:rFonts w:cs="Arial" w:ascii="Arial" w:hAnsi="Arial"/>
          <w:b/>
          <w:color w:val="44494E"/>
        </w:rPr>
      </w:r>
    </w:p>
    <w:p>
      <w:pPr>
        <w:pStyle w:val="Normal"/>
        <w:spacing w:lineRule="auto" w:line="240" w:before="0" w:after="0"/>
        <w:jc w:val="both"/>
        <w:rPr>
          <w:rFonts w:ascii="Arial" w:hAnsi="Arial" w:cs="Arial"/>
          <w:b/>
          <w:b/>
          <w:color w:val="44494E"/>
        </w:rPr>
      </w:pPr>
      <w:r>
        <w:rPr>
          <w:rFonts w:cs="Arial" w:ascii="Arial" w:hAnsi="Arial"/>
          <w:b/>
          <w:color w:val="44494E"/>
        </w:rPr>
        <w:t xml:space="preserve">Main Responsibilities: </w:t>
      </w:r>
    </w:p>
    <w:p>
      <w:pPr>
        <w:pStyle w:val="Normal"/>
        <w:spacing w:lineRule="auto" w:line="240" w:before="0" w:after="0"/>
        <w:jc w:val="both"/>
        <w:rPr>
          <w:rFonts w:ascii="Arial" w:hAnsi="Arial" w:eastAsia="Calibri" w:cs="Arial"/>
          <w:iCs/>
          <w:color w:val="44494E"/>
        </w:rPr>
      </w:pPr>
      <w:r>
        <w:rPr>
          <w:rFonts w:eastAsia="Calibri" w:cs="Arial" w:ascii="Arial" w:hAnsi="Arial"/>
          <w:iCs/>
          <w:color w:val="44494E"/>
        </w:rPr>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Ensure operations are robust, resilient and compliant with legal and regulatory requirements, including making recommendations for change and supporting implementation. Develop and oversee key operational performance metrics, ensuring high quality and consistent service delivery across the Trust and its schools.</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Lead the Communications team to support the Trust’s key strategic aims and operational requirements, ensuring positive communications promote the Trust and its work.</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Provide strategic leadership of the Trust’s Estate, ensuring buildings are safe, compliance and well-maintained, fit for educational purpose and sustainable. Lead long term estates planning aligned with pupil growth, curriculum needs and Trust expansion.</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Manage the due diligence process and conversion of both sponsored and converter academies into the Trust.</w:t>
      </w:r>
    </w:p>
    <w:p>
      <w:pPr>
        <w:pStyle w:val="ListParagraph"/>
        <w:numPr>
          <w:ilvl w:val="0"/>
          <w:numId w:val="5"/>
        </w:numPr>
        <w:spacing w:lineRule="auto" w:line="240" w:before="0" w:after="0"/>
        <w:contextualSpacing/>
        <w:rPr/>
      </w:pPr>
      <w:r>
        <w:rPr>
          <w:rStyle w:val="Normaltextrun"/>
          <w:rFonts w:cs="Arial" w:ascii="Arial" w:hAnsi="Arial"/>
          <w:color w:val="000000"/>
          <w:shd w:fill="FFFFFF" w:val="clear"/>
        </w:rPr>
        <w:t>Support schools who are new to the trust in turning the Trust vision into operational reality. </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Identify and assess funding opportunities and prepare bids and returns as appropriate.</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Support the CFO on procurement, contract management and negotiations of key legal agreements.</w:t>
      </w:r>
    </w:p>
    <w:p>
      <w:pPr>
        <w:pStyle w:val="Paragraph"/>
        <w:numPr>
          <w:ilvl w:val="0"/>
          <w:numId w:val="5"/>
        </w:numPr>
        <w:spacing w:before="0" w:after="0"/>
        <w:jc w:val="both"/>
        <w:textAlignment w:val="baseline"/>
        <w:rPr>
          <w:rFonts w:ascii="Arial" w:hAnsi="Arial" w:eastAsia="Calibri" w:cs="Arial"/>
          <w:color w:val="44494E"/>
          <w:sz w:val="22"/>
          <w:szCs w:val="22"/>
          <w:lang w:eastAsia="en-US"/>
        </w:rPr>
      </w:pPr>
      <w:r>
        <w:rPr>
          <w:rFonts w:eastAsia="Calibri" w:cs="Arial" w:ascii="Arial" w:hAnsi="Arial"/>
          <w:color w:val="44494E"/>
          <w:sz w:val="22"/>
          <w:szCs w:val="22"/>
          <w:lang w:eastAsia="en-US"/>
        </w:rPr>
        <w:t>Support on risk management and mitigation, strengthening control and ensuring that the CEO and Trustees are appraised of risks and issues, and that these are mitigated against and managed appropriately as the Trust grows. </w:t>
      </w:r>
    </w:p>
    <w:p>
      <w:pPr>
        <w:pStyle w:val="Paragraph"/>
        <w:numPr>
          <w:ilvl w:val="0"/>
          <w:numId w:val="5"/>
        </w:numPr>
        <w:spacing w:before="0" w:after="0"/>
        <w:jc w:val="both"/>
        <w:textAlignment w:val="baseline"/>
        <w:rPr>
          <w:rFonts w:ascii="Arial" w:hAnsi="Arial" w:eastAsia="Calibri" w:cs="Arial"/>
          <w:color w:val="44494E"/>
          <w:sz w:val="22"/>
          <w:szCs w:val="22"/>
          <w:lang w:eastAsia="en-US"/>
        </w:rPr>
      </w:pPr>
      <w:r>
        <w:rPr>
          <w:rFonts w:eastAsia="Calibri" w:cs="Arial" w:ascii="Arial" w:hAnsi="Arial"/>
          <w:color w:val="44494E"/>
          <w:sz w:val="22"/>
          <w:szCs w:val="22"/>
          <w:lang w:eastAsia="en-US"/>
        </w:rPr>
        <w:t>Ensure robust business continuity and disaster recovery plans are in place and regularly tested.</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Oversee regulatory compliance including data protection, website compliance and policy development and implementation.</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Maximise income generation from our community use facilities and explore other opportunities for commercial activities.</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Build excellent relationships internally and externally, interfacing with stakeholders across different business functions.</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Act as lead advisor on transformational projects using knowledge, experience and relationships to provide detailed assessment, planning, evaluation and the delivery of pragmatic solutions to problems.</w:t>
      </w:r>
    </w:p>
    <w:p>
      <w:pPr>
        <w:pStyle w:val="ListParagraph"/>
        <w:numPr>
          <w:ilvl w:val="0"/>
          <w:numId w:val="5"/>
        </w:numPr>
        <w:spacing w:lineRule="auto" w:line="240" w:before="0" w:after="0"/>
        <w:contextualSpacing/>
        <w:rPr>
          <w:rFonts w:ascii="Arial" w:hAnsi="Arial" w:cs="Arial"/>
          <w:color w:val="44494E"/>
        </w:rPr>
      </w:pPr>
      <w:r>
        <w:rPr>
          <w:rFonts w:cs="Arial" w:ascii="Arial" w:hAnsi="Arial"/>
          <w:color w:val="44494E"/>
        </w:rPr>
        <w:t>Identify, design and embed creative solutions to enhance organisational capability and capacity, coordinating appropriate networks across the schools.</w:t>
      </w:r>
    </w:p>
    <w:p>
      <w:pPr>
        <w:pStyle w:val="ListParagraph"/>
        <w:numPr>
          <w:ilvl w:val="0"/>
          <w:numId w:val="5"/>
        </w:numPr>
        <w:pBdr>
          <w:bottom w:val="single" w:sz="12" w:space="1" w:color="000000"/>
        </w:pBdr>
        <w:spacing w:lineRule="auto" w:line="240" w:before="0" w:after="0"/>
        <w:contextualSpacing/>
        <w:rPr>
          <w:rFonts w:ascii="Arial" w:hAnsi="Arial" w:cs="Arial"/>
          <w:color w:val="44494E"/>
        </w:rPr>
      </w:pPr>
      <w:r>
        <w:rPr>
          <w:rFonts w:cs="Arial" w:ascii="Arial" w:hAnsi="Arial"/>
          <w:color w:val="44494E"/>
        </w:rPr>
        <w:t>Champion the principles of value for money.</w:t>
        <w:br/>
        <w:br/>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t>Trust Responsibilities:</w:t>
      </w:r>
    </w:p>
    <w:p>
      <w:pPr>
        <w:pStyle w:val="Normal"/>
        <w:spacing w:lineRule="auto" w:line="240" w:before="0" w:after="0"/>
        <w:rPr>
          <w:rFonts w:ascii="Arial" w:hAnsi="Arial" w:cs="Arial"/>
          <w:b/>
          <w:b/>
          <w:color w:val="44494E"/>
        </w:rPr>
      </w:pPr>
      <w:r>
        <w:rPr>
          <w:rFonts w:cs="Arial" w:ascii="Arial" w:hAnsi="Arial"/>
          <w:b/>
          <w:color w:val="44494E"/>
        </w:rPr>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Adhere to all Trust policies and procedures.</w:t>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Take responsibility for promoting and safeguarding the welfare of all pupils.</w:t>
      </w:r>
    </w:p>
    <w:p>
      <w:pPr>
        <w:pStyle w:val="ListParagraph"/>
        <w:numPr>
          <w:ilvl w:val="0"/>
          <w:numId w:val="1"/>
        </w:numPr>
        <w:tabs>
          <w:tab w:val="clear" w:pos="720"/>
          <w:tab w:val="left" w:pos="142" w:leader="none"/>
          <w:tab w:val="left" w:pos="426" w:leader="none"/>
          <w:tab w:val="left" w:pos="1276" w:leader="none"/>
        </w:tabs>
        <w:spacing w:lineRule="auto" w:line="240" w:before="0" w:after="0"/>
        <w:contextualSpacing/>
        <w:jc w:val="both"/>
        <w:rPr>
          <w:rFonts w:ascii="Arial" w:hAnsi="Arial" w:cs="Arial"/>
          <w:color w:val="44494E"/>
        </w:rPr>
      </w:pPr>
      <w:r>
        <w:rPr>
          <w:rFonts w:cs="Arial" w:ascii="Arial" w:hAnsi="Arial"/>
          <w:color w:val="44494E"/>
        </w:rPr>
        <w:t>Demonstrate commitment to the Equal Opportunities Policy, to work positively and inclusively with colleagues so that the Trust provides a workplace and delivers services that do not discriminate against people on the grounds of their age, gender, sexual orientation, marital status, race, religion, creed, colour, nationality, ethnic origin or disability.</w:t>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Work flexibly in the interests of the service (this may include undertaking other duties provided that these are appropriate to the employee’s background, skills and abilities).</w:t>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Travel between different sites of the Laurus Trust as required.</w:t>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Actively participate in performance reviews at regular intervals in accordance with Trust procedures.</w:t>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Undertake training courses organised by the Trust where these will assist in the carrying out of the above duties, develop skills which may be required to fulfil those duties in the future or are required to fulfil legal requirements.</w:t>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Refrain from smoking in any areas of Trust premises.</w:t>
      </w:r>
    </w:p>
    <w:p>
      <w:pPr>
        <w:pStyle w:val="ListParagraph"/>
        <w:numPr>
          <w:ilvl w:val="0"/>
          <w:numId w:val="1"/>
        </w:numPr>
        <w:spacing w:lineRule="auto" w:line="240" w:before="0" w:after="0"/>
        <w:contextualSpacing/>
        <w:jc w:val="both"/>
        <w:rPr>
          <w:rFonts w:ascii="Arial" w:hAnsi="Arial" w:cs="Arial"/>
          <w:color w:val="44494E"/>
        </w:rPr>
      </w:pPr>
      <w:r>
        <w:rPr>
          <w:rFonts w:cs="Arial" w:ascii="Arial" w:hAnsi="Arial"/>
          <w:color w:val="44494E"/>
        </w:rPr>
        <w:t>Behave in a manner that ensures the security of property and resources.</w:t>
      </w:r>
      <w:bookmarkStart w:id="1" w:name="_Hlk48132998"/>
    </w:p>
    <w:p>
      <w:pPr>
        <w:pStyle w:val="ListParagraph"/>
        <w:numPr>
          <w:ilvl w:val="0"/>
          <w:numId w:val="1"/>
        </w:numPr>
        <w:spacing w:lineRule="auto" w:line="240" w:before="0" w:after="0"/>
        <w:contextualSpacing/>
        <w:jc w:val="both"/>
        <w:rPr/>
      </w:pPr>
      <w:r>
        <w:rPr>
          <w:rFonts w:cs="Arial" w:ascii="Arial" w:hAnsi="Arial"/>
          <w:color w:val="44494E"/>
        </w:rPr>
        <w:t>Demonstrate consistently high standards of personal and professional conduct</w:t>
      </w:r>
      <w:bookmarkStart w:id="2" w:name="_Hlk48133541"/>
      <w:bookmarkEnd w:id="1"/>
      <w:r>
        <w:rPr>
          <w:rFonts w:cs="Arial" w:ascii="Arial" w:hAnsi="Arial"/>
          <w:color w:val="44494E"/>
        </w:rPr>
        <w:t xml:space="preserve"> as defined in The Laurus Trust Code of Conduct Policy. </w:t>
      </w:r>
      <w:bookmarkEnd w:id="2"/>
    </w:p>
    <w:p>
      <w:pPr>
        <w:pStyle w:val="Normal"/>
        <w:pBdr>
          <w:bottom w:val="single" w:sz="12" w:space="1" w:color="000000"/>
        </w:pBdr>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t>Safeguarding:</w:t>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jc w:val="both"/>
        <w:rPr>
          <w:rFonts w:ascii="Arial" w:hAnsi="Arial" w:cs="Arial"/>
          <w:color w:val="44494E"/>
        </w:rPr>
      </w:pPr>
      <w:r>
        <w:rPr>
          <w:rFonts w:cs="Arial" w:ascii="Arial" w:hAnsi="Arial"/>
          <w:color w:val="44494E"/>
        </w:rPr>
        <w:t xml:space="preserve">The Laurus Trust and its affiliated schools are committed to safeguarding and protecting the children and young people that we work with. As such, all posts are subject to a safer recruitment process, including the disclosure of criminal records and vetting checks. The post holder will be required to complete an enhanced Disclosure Barring Service (DBS) Check with appropriate barred list checks, or the equivalent, and must be eligible to work in the UK. </w:t>
      </w:r>
    </w:p>
    <w:p>
      <w:pPr>
        <w:pStyle w:val="Normal"/>
        <w:spacing w:lineRule="auto" w:line="240" w:before="0" w:after="0"/>
        <w:jc w:val="both"/>
        <w:rPr>
          <w:rFonts w:ascii="Arial" w:hAnsi="Arial" w:cs="Arial"/>
          <w:color w:val="44494E"/>
        </w:rPr>
      </w:pPr>
      <w:r>
        <w:rPr>
          <w:rFonts w:cs="Arial" w:ascii="Arial" w:hAnsi="Arial"/>
          <w:color w:val="44494E"/>
        </w:rPr>
      </w:r>
    </w:p>
    <w:p>
      <w:pPr>
        <w:pStyle w:val="Normal"/>
        <w:spacing w:lineRule="auto" w:line="240" w:before="0" w:after="0"/>
        <w:jc w:val="both"/>
        <w:rPr>
          <w:rFonts w:ascii="Arial" w:hAnsi="Arial" w:cs="Arial"/>
          <w:color w:val="44494E"/>
        </w:rPr>
      </w:pPr>
      <w:r>
        <w:rPr>
          <w:rFonts w:cs="Arial" w:ascii="Arial" w:hAnsi="Arial"/>
          <w:color w:val="44494E"/>
        </w:rPr>
        <w:t>We ensure that we have a range of policies and procedures in place which promote safeguarding and safer working practice across the school. This is in line with statutory guidance Keeping Children Safe in Education and The Education Act, we expect all staff and volunteers to share this commitment.</w:t>
      </w:r>
    </w:p>
    <w:p>
      <w:pPr>
        <w:pStyle w:val="Normal"/>
        <w:pBdr>
          <w:bottom w:val="single" w:sz="12" w:space="1" w:color="000000"/>
        </w:pBdr>
        <w:spacing w:lineRule="auto" w:line="240" w:before="0" w:after="0"/>
        <w:rPr>
          <w:rFonts w:ascii="Arial" w:hAnsi="Arial" w:cs="Arial"/>
          <w:color w:val="44494E"/>
        </w:rPr>
      </w:pPr>
      <w:r>
        <w:rPr>
          <w:rFonts w:cs="Arial" w:ascii="Arial" w:hAnsi="Arial"/>
          <w:color w:val="44494E"/>
        </w:rPr>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t>Core Behaviours:</w:t>
      </w:r>
    </w:p>
    <w:p>
      <w:pPr>
        <w:pStyle w:val="Normal"/>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jc w:val="both"/>
        <w:rPr>
          <w:rFonts w:ascii="Arial" w:hAnsi="Arial" w:eastAsia="Times New Roman" w:cs="Arial"/>
          <w:color w:val="44494E"/>
        </w:rPr>
      </w:pPr>
      <w:r>
        <w:rPr>
          <w:rFonts w:eastAsia="Times New Roman" w:cs="Arial" w:ascii="Arial" w:hAnsi="Arial"/>
          <w:color w:val="44494E"/>
        </w:rPr>
        <w:t>It’s important for all Support Staff to be able to demonstrate some or all of the core behaviours on a regular/daily basis:</w:t>
      </w:r>
    </w:p>
    <w:p>
      <w:pPr>
        <w:pStyle w:val="ListParagraph"/>
        <w:spacing w:lineRule="auto" w:line="240" w:before="0" w:after="0"/>
        <w:contextualSpacing/>
        <w:jc w:val="both"/>
        <w:rPr>
          <w:rFonts w:ascii="Arial" w:hAnsi="Arial" w:cs="Arial"/>
          <w:color w:val="44494E"/>
        </w:rPr>
      </w:pPr>
      <w:r>
        <w:rPr>
          <w:rFonts w:cs="Arial" w:ascii="Arial" w:hAnsi="Arial"/>
          <w:color w:val="44494E"/>
        </w:rPr>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A</w:t>
      </w:r>
      <w:r>
        <w:rPr>
          <w:rFonts w:eastAsia="Times New Roman" w:cs="Arial" w:ascii="Arial" w:hAnsi="Arial"/>
          <w:color w:val="44494E"/>
          <w:lang w:val="en" w:eastAsia="en-GB"/>
        </w:rPr>
        <w:t>daptable</w:t>
        <w:tab/>
        <w:tab/>
        <w:t xml:space="preserve">- </w:t>
      </w:r>
      <w:r>
        <w:rPr>
          <w:rFonts w:cs="Arial" w:ascii="Arial" w:hAnsi="Arial"/>
          <w:color w:val="44494E"/>
        </w:rPr>
        <w:t>Open to change, to be flexible.</w:t>
      </w:r>
    </w:p>
    <w:p>
      <w:pPr>
        <w:pStyle w:val="ListParagraph"/>
        <w:widowControl w:val="false"/>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C</w:t>
      </w:r>
      <w:r>
        <w:rPr>
          <w:rFonts w:eastAsia="Times New Roman" w:cs="Arial" w:ascii="Arial" w:hAnsi="Arial"/>
          <w:color w:val="44494E"/>
          <w:lang w:val="en" w:eastAsia="en-GB"/>
        </w:rPr>
        <w:t>ourageous</w:t>
        <w:tab/>
        <w:tab/>
        <w:t xml:space="preserve">- </w:t>
      </w:r>
      <w:r>
        <w:rPr>
          <w:rFonts w:cs="Arial" w:ascii="Arial" w:hAnsi="Arial"/>
          <w:color w:val="44494E"/>
        </w:rPr>
        <w:t>Willing to speak up, offer ideas, challenge the norm.</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H</w:t>
      </w:r>
      <w:r>
        <w:rPr>
          <w:rFonts w:eastAsia="Times New Roman" w:cs="Arial" w:ascii="Arial" w:hAnsi="Arial"/>
          <w:color w:val="44494E"/>
          <w:lang w:val="en" w:eastAsia="en-GB"/>
        </w:rPr>
        <w:t>ard Working</w:t>
        <w:tab/>
        <w:t xml:space="preserve">- </w:t>
      </w:r>
      <w:r>
        <w:rPr>
          <w:rFonts w:cs="Arial" w:ascii="Arial" w:hAnsi="Arial"/>
          <w:color w:val="44494E"/>
        </w:rPr>
        <w:t>Strong work ethic, prepared to go the extra mile.</w:t>
      </w:r>
    </w:p>
    <w:p>
      <w:pPr>
        <w:pStyle w:val="ListParagraph"/>
        <w:widowControl w:val="false"/>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I</w:t>
      </w:r>
      <w:r>
        <w:rPr>
          <w:rFonts w:eastAsia="Times New Roman" w:cs="Arial" w:ascii="Arial" w:hAnsi="Arial"/>
          <w:color w:val="44494E"/>
          <w:lang w:val="en" w:eastAsia="en-GB"/>
        </w:rPr>
        <w:t>nclusive</w:t>
        <w:tab/>
        <w:tab/>
        <w:t xml:space="preserve">- </w:t>
      </w:r>
      <w:r>
        <w:rPr>
          <w:rFonts w:cs="Arial" w:ascii="Arial" w:hAnsi="Arial"/>
          <w:color w:val="44494E"/>
        </w:rPr>
        <w:t>Treat others fairly and equally.</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E</w:t>
      </w:r>
      <w:r>
        <w:rPr>
          <w:rFonts w:eastAsia="Times New Roman" w:cs="Arial" w:ascii="Arial" w:hAnsi="Arial"/>
          <w:color w:val="44494E"/>
          <w:lang w:val="en" w:eastAsia="en-GB"/>
        </w:rPr>
        <w:t>ngaged</w:t>
        <w:tab/>
        <w:tab/>
        <w:t xml:space="preserve">- </w:t>
      </w:r>
      <w:r>
        <w:rPr>
          <w:rFonts w:cs="Arial" w:ascii="Arial" w:hAnsi="Arial"/>
          <w:color w:val="44494E"/>
        </w:rPr>
        <w:t>Involved/absorbed in your work, participate at all times.</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V</w:t>
      </w:r>
      <w:r>
        <w:rPr>
          <w:rFonts w:eastAsia="Times New Roman" w:cs="Arial" w:ascii="Arial" w:hAnsi="Arial"/>
          <w:color w:val="44494E"/>
          <w:lang w:val="en" w:eastAsia="en-GB"/>
        </w:rPr>
        <w:t>alue</w:t>
        <w:tab/>
        <w:tab/>
        <w:tab/>
        <w:t xml:space="preserve">- </w:t>
      </w:r>
      <w:r>
        <w:rPr>
          <w:rFonts w:cs="Arial" w:ascii="Arial" w:hAnsi="Arial"/>
          <w:color w:val="44494E"/>
        </w:rPr>
        <w:t>Add value to your role, your team and the Trust.</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E</w:t>
      </w:r>
      <w:r>
        <w:rPr>
          <w:rFonts w:eastAsia="Times New Roman" w:cs="Arial" w:ascii="Arial" w:hAnsi="Arial"/>
          <w:color w:val="44494E"/>
          <w:lang w:val="en" w:eastAsia="en-GB"/>
        </w:rPr>
        <w:t>nquiring</w:t>
        <w:tab/>
        <w:tab/>
        <w:t>- H</w:t>
      </w:r>
      <w:r>
        <w:rPr>
          <w:rFonts w:cs="Arial" w:ascii="Arial" w:hAnsi="Arial"/>
          <w:color w:val="44494E"/>
        </w:rPr>
        <w:t>ave an enquiring mind, curious, improve and find solutions.</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M</w:t>
      </w:r>
      <w:r>
        <w:rPr>
          <w:rFonts w:eastAsia="Times New Roman" w:cs="Arial" w:ascii="Arial" w:hAnsi="Arial"/>
          <w:color w:val="44494E"/>
          <w:lang w:val="en" w:eastAsia="en-GB"/>
        </w:rPr>
        <w:t>otivated</w:t>
        <w:tab/>
        <w:tab/>
        <w:t>- P</w:t>
      </w:r>
      <w:r>
        <w:rPr>
          <w:rFonts w:cs="Arial" w:ascii="Arial" w:hAnsi="Arial"/>
          <w:color w:val="44494E"/>
        </w:rPr>
        <w:t>ro-active, wanting to achieve goals, willingness to try, can do attitude.</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E</w:t>
      </w:r>
      <w:r>
        <w:rPr>
          <w:rFonts w:eastAsia="Times New Roman" w:cs="Arial" w:ascii="Arial" w:hAnsi="Arial"/>
          <w:color w:val="44494E"/>
          <w:lang w:val="en" w:eastAsia="en-GB"/>
        </w:rPr>
        <w:t>ncouraging</w:t>
        <w:tab/>
        <w:tab/>
        <w:t xml:space="preserve">- </w:t>
      </w:r>
      <w:r>
        <w:rPr>
          <w:rFonts w:cs="Arial" w:ascii="Arial" w:hAnsi="Arial"/>
          <w:color w:val="44494E"/>
        </w:rPr>
        <w:t>Giving/offering support and confidence to others, working together.</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N</w:t>
      </w:r>
      <w:r>
        <w:rPr>
          <w:rFonts w:eastAsia="Times New Roman" w:cs="Arial" w:ascii="Arial" w:hAnsi="Arial"/>
          <w:color w:val="44494E"/>
          <w:lang w:val="en" w:eastAsia="en-GB"/>
        </w:rPr>
        <w:t>avigator</w:t>
        <w:tab/>
        <w:tab/>
        <w:t xml:space="preserve">- </w:t>
      </w:r>
      <w:r>
        <w:rPr>
          <w:rFonts w:cs="Arial" w:ascii="Arial" w:hAnsi="Arial"/>
          <w:color w:val="44494E"/>
        </w:rPr>
        <w:t>Providing guidance, leading when necessary.</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4494E"/>
          <w:lang w:val="en" w:eastAsia="en-GB"/>
        </w:rPr>
        <w:t>T</w:t>
      </w:r>
      <w:r>
        <w:rPr>
          <w:rFonts w:eastAsia="Times New Roman" w:cs="Arial" w:ascii="Arial" w:hAnsi="Arial"/>
          <w:color w:val="44494E"/>
          <w:lang w:val="en" w:eastAsia="en-GB"/>
        </w:rPr>
        <w:t>enacious</w:t>
        <w:tab/>
        <w:tab/>
        <w:t xml:space="preserve">- </w:t>
      </w:r>
      <w:r>
        <w:rPr>
          <w:rFonts w:cs="Arial" w:ascii="Arial" w:hAnsi="Arial"/>
          <w:color w:val="44494E"/>
        </w:rPr>
        <w:t>Perseverance, never giving up, whatever it takes.</w:t>
      </w:r>
    </w:p>
    <w:p>
      <w:pPr>
        <w:pStyle w:val="Normal"/>
        <w:pBdr>
          <w:bottom w:val="single" w:sz="12" w:space="1" w:color="000000"/>
        </w:pBdr>
        <w:spacing w:lineRule="auto" w:line="240" w:before="0" w:after="0"/>
        <w:rPr>
          <w:rFonts w:ascii="Arial" w:hAnsi="Arial" w:cs="Arial"/>
          <w:b/>
          <w:b/>
          <w:color w:val="44494E"/>
        </w:rPr>
      </w:pPr>
      <w:r>
        <w:rPr>
          <w:rFonts w:cs="Arial" w:ascii="Arial" w:hAnsi="Arial"/>
          <w:b/>
          <w:color w:val="44494E"/>
        </w:rPr>
      </w:r>
    </w:p>
    <w:p>
      <w:pPr>
        <w:pStyle w:val="Normal"/>
        <w:spacing w:lineRule="auto" w:line="240" w:before="0" w:after="0"/>
        <w:rPr>
          <w:rFonts w:ascii="Arial" w:hAnsi="Arial" w:cs="Arial"/>
          <w:b/>
          <w:b/>
          <w:color w:val="44494E"/>
        </w:rPr>
      </w:pPr>
      <w:r>
        <w:rPr>
          <w:rFonts w:cs="Arial" w:ascii="Arial" w:hAnsi="Arial"/>
          <w:b/>
          <w:color w:val="44494E"/>
        </w:rPr>
      </w:r>
      <w:r>
        <w:br w:type="page"/>
      </w:r>
    </w:p>
    <w:p>
      <w:pPr>
        <w:pStyle w:val="Normal"/>
        <w:rPr>
          <w:rFonts w:ascii="Arial" w:hAnsi="Arial" w:cs="Arial"/>
          <w:b/>
          <w:b/>
          <w:color w:val="44494E"/>
        </w:rPr>
      </w:pPr>
      <w:r>
        <w:rPr>
          <w:rFonts w:cs="Arial" w:ascii="Arial" w:hAnsi="Arial"/>
          <w:b/>
          <w:color w:val="44494E"/>
        </w:rPr>
        <w:t>Person Specification:</w:t>
      </w:r>
    </w:p>
    <w:tbl>
      <w:tblPr>
        <w:tblW w:w="10203" w:type="dxa"/>
        <w:jc w:val="left"/>
        <w:tblInd w:w="0" w:type="dxa"/>
        <w:tblCellMar>
          <w:top w:w="0" w:type="dxa"/>
          <w:left w:w="108" w:type="dxa"/>
          <w:bottom w:w="0" w:type="dxa"/>
          <w:right w:w="108" w:type="dxa"/>
        </w:tblCellMar>
      </w:tblPr>
      <w:tblGrid>
        <w:gridCol w:w="3255"/>
        <w:gridCol w:w="3827"/>
        <w:gridCol w:w="3121"/>
      </w:tblGrid>
      <w:tr>
        <w:trPr/>
        <w:tc>
          <w:tcPr>
            <w:tcW w:w="3255" w:type="dxa"/>
            <w:tcBorders>
              <w:top w:val="single" w:sz="4" w:space="0" w:color="000000"/>
              <w:left w:val="single" w:sz="4" w:space="0" w:color="000000"/>
              <w:bottom w:val="single" w:sz="4" w:space="0" w:color="000000"/>
            </w:tcBorders>
            <w:shd w:fill="625368" w:val="clear"/>
          </w:tcPr>
          <w:p>
            <w:pPr>
              <w:pStyle w:val="Normal"/>
              <w:spacing w:lineRule="auto" w:line="240" w:before="0" w:after="0"/>
              <w:jc w:val="center"/>
              <w:rPr>
                <w:rFonts w:ascii="Arial" w:hAnsi="Arial" w:cs="Arial"/>
                <w:b/>
                <w:b/>
                <w:color w:val="FFFFFF"/>
              </w:rPr>
            </w:pPr>
            <w:r>
              <w:rPr>
                <w:rFonts w:cs="Arial" w:ascii="Arial" w:hAnsi="Arial"/>
                <w:b/>
                <w:color w:val="FFFFFF"/>
              </w:rPr>
              <w:t>Attributes</w:t>
            </w:r>
          </w:p>
        </w:tc>
        <w:tc>
          <w:tcPr>
            <w:tcW w:w="3827" w:type="dxa"/>
            <w:tcBorders>
              <w:top w:val="single" w:sz="4" w:space="0" w:color="000000"/>
              <w:left w:val="single" w:sz="4" w:space="0" w:color="000000"/>
              <w:bottom w:val="single" w:sz="4" w:space="0" w:color="000000"/>
            </w:tcBorders>
            <w:shd w:fill="625368" w:val="clear"/>
          </w:tcPr>
          <w:p>
            <w:pPr>
              <w:pStyle w:val="Normal"/>
              <w:spacing w:lineRule="auto" w:line="240" w:before="0" w:after="0"/>
              <w:jc w:val="center"/>
              <w:rPr>
                <w:rFonts w:ascii="Arial" w:hAnsi="Arial" w:cs="Arial"/>
                <w:b/>
                <w:b/>
                <w:color w:val="FFFFFF"/>
              </w:rPr>
            </w:pPr>
            <w:r>
              <w:rPr>
                <w:rFonts w:cs="Arial" w:ascii="Arial" w:hAnsi="Arial"/>
                <w:b/>
                <w:color w:val="FFFFFF"/>
              </w:rPr>
              <w:t>Essential</w:t>
            </w:r>
          </w:p>
        </w:tc>
        <w:tc>
          <w:tcPr>
            <w:tcW w:w="3121" w:type="dxa"/>
            <w:tcBorders>
              <w:top w:val="single" w:sz="4" w:space="0" w:color="000000"/>
              <w:left w:val="single" w:sz="4" w:space="0" w:color="000000"/>
              <w:bottom w:val="single" w:sz="4" w:space="0" w:color="000000"/>
              <w:right w:val="single" w:sz="4" w:space="0" w:color="000000"/>
            </w:tcBorders>
            <w:shd w:fill="625368" w:val="clear"/>
          </w:tcPr>
          <w:p>
            <w:pPr>
              <w:pStyle w:val="Normal"/>
              <w:spacing w:lineRule="auto" w:line="240" w:before="0" w:after="0"/>
              <w:jc w:val="center"/>
              <w:rPr>
                <w:rFonts w:ascii="Arial" w:hAnsi="Arial" w:cs="Arial"/>
                <w:b/>
                <w:b/>
                <w:color w:val="FFFFFF"/>
              </w:rPr>
            </w:pPr>
            <w:r>
              <w:rPr>
                <w:rFonts w:cs="Arial" w:ascii="Arial" w:hAnsi="Arial"/>
                <w:b/>
                <w:color w:val="FFFFFF"/>
              </w:rPr>
              <w:t>Desirable</w:t>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4494E"/>
              </w:rPr>
            </w:pPr>
            <w:r>
              <w:rPr>
                <w:rFonts w:cs="Arial" w:ascii="Arial" w:hAnsi="Arial"/>
                <w:b/>
                <w:color w:val="44494E"/>
              </w:rPr>
              <w:t>Education and Qualifications</w:t>
            </w:r>
          </w:p>
        </w:tc>
        <w:tc>
          <w:tcPr>
            <w:tcW w:w="3827" w:type="dxa"/>
            <w:tcBorders>
              <w:top w:val="single" w:sz="4" w:space="0" w:color="000000"/>
              <w:left w:val="single" w:sz="4" w:space="0" w:color="000000"/>
              <w:bottom w:val="single" w:sz="4" w:space="0" w:color="000000"/>
            </w:tcBorders>
            <w:shd w:fill="auto" w:val="clear"/>
          </w:tcPr>
          <w:p>
            <w:pPr>
              <w:pStyle w:val="ListParagraph"/>
              <w:numPr>
                <w:ilvl w:val="0"/>
                <w:numId w:val="3"/>
              </w:numPr>
              <w:spacing w:lineRule="auto" w:line="240" w:before="0" w:after="0"/>
              <w:contextualSpacing/>
              <w:rPr>
                <w:rFonts w:ascii="Arial" w:hAnsi="Arial" w:cs="Arial"/>
                <w:color w:val="44494E"/>
                <w:lang w:eastAsia="en-GB"/>
              </w:rPr>
            </w:pPr>
            <w:r>
              <w:rPr>
                <w:rFonts w:cs="Arial" w:ascii="Arial" w:hAnsi="Arial"/>
                <w:color w:val="44494E"/>
                <w:lang w:eastAsia="en-GB"/>
              </w:rPr>
              <w:t>Educated to degree level</w:t>
            </w:r>
          </w:p>
          <w:p>
            <w:pPr>
              <w:pStyle w:val="ListParagraph"/>
              <w:numPr>
                <w:ilvl w:val="0"/>
                <w:numId w:val="3"/>
              </w:numPr>
              <w:spacing w:lineRule="auto" w:line="240" w:before="0" w:after="0"/>
              <w:contextualSpacing/>
              <w:rPr>
                <w:rFonts w:ascii="Arial" w:hAnsi="Arial" w:cs="Arial"/>
                <w:color w:val="44494E"/>
                <w:lang w:eastAsia="en-GB"/>
              </w:rPr>
            </w:pPr>
            <w:r>
              <w:rPr>
                <w:rFonts w:cs="Arial" w:ascii="Arial" w:hAnsi="Arial"/>
                <w:color w:val="44494E"/>
                <w:lang w:eastAsia="en-GB"/>
              </w:rPr>
              <w:t>Relevant professional qualification</w:t>
            </w:r>
          </w:p>
          <w:p>
            <w:pPr>
              <w:pStyle w:val="ListParagraph"/>
              <w:numPr>
                <w:ilvl w:val="0"/>
                <w:numId w:val="3"/>
              </w:numPr>
              <w:spacing w:lineRule="auto" w:line="240" w:before="0" w:after="0"/>
              <w:contextualSpacing/>
              <w:rPr>
                <w:rFonts w:ascii="Arial" w:hAnsi="Arial" w:cs="Arial"/>
                <w:color w:val="44494E"/>
                <w:lang w:eastAsia="en-GB"/>
              </w:rPr>
            </w:pPr>
            <w:r>
              <w:rPr>
                <w:rFonts w:cs="Arial" w:ascii="Arial" w:hAnsi="Arial"/>
                <w:color w:val="44494E"/>
                <w:lang w:eastAsia="en-GB"/>
              </w:rPr>
              <w:t>Evidence of commitment to own CPD</w:t>
            </w:r>
          </w:p>
          <w:p>
            <w:pPr>
              <w:pStyle w:val="ListParagraph"/>
              <w:numPr>
                <w:ilvl w:val="0"/>
                <w:numId w:val="3"/>
              </w:numPr>
              <w:spacing w:lineRule="auto" w:line="240" w:before="0" w:after="0"/>
              <w:contextualSpacing/>
              <w:rPr>
                <w:rFonts w:ascii="Arial" w:hAnsi="Arial" w:cs="Arial"/>
                <w:color w:val="44494E"/>
                <w:lang w:eastAsia="en-GB"/>
              </w:rPr>
            </w:pPr>
            <w:r>
              <w:rPr>
                <w:rFonts w:cs="Arial" w:ascii="Arial" w:hAnsi="Arial"/>
                <w:color w:val="44494E"/>
                <w:lang w:eastAsia="en-GB"/>
              </w:rPr>
              <w:t xml:space="preserve">Sound educational background including GCSE’s Maths and English (A*-C) or equivalent </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color w:val="44494E"/>
                <w:sz w:val="40"/>
                <w:szCs w:val="40"/>
              </w:rPr>
            </w:pPr>
            <w:r>
              <w:rPr>
                <w:rFonts w:cs="Arial" w:ascii="Arial" w:hAnsi="Arial"/>
                <w:b/>
                <w:color w:val="44494E"/>
                <w:sz w:val="40"/>
                <w:szCs w:val="40"/>
              </w:rPr>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4494E"/>
              </w:rPr>
            </w:pPr>
            <w:r>
              <w:rPr>
                <w:rFonts w:cs="Arial" w:ascii="Arial" w:hAnsi="Arial"/>
                <w:b/>
                <w:color w:val="44494E"/>
              </w:rPr>
              <w:t>Knowledge and Experience</w:t>
            </w:r>
          </w:p>
        </w:tc>
        <w:tc>
          <w:tcPr>
            <w:tcW w:w="3827" w:type="dxa"/>
            <w:tcBorders>
              <w:top w:val="single" w:sz="4" w:space="0" w:color="000000"/>
              <w:left w:val="single" w:sz="4" w:space="0" w:color="000000"/>
              <w:bottom w:val="single" w:sz="4" w:space="0" w:color="000000"/>
            </w:tcBorders>
            <w:shd w:fill="auto" w:val="clear"/>
          </w:tcPr>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Prior experience in a similar role</w:t>
            </w:r>
          </w:p>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Strong commercial business acumen with a proactive, solutions-oriented approach to risk management</w:t>
            </w:r>
          </w:p>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Experience of delivering to deadlines and achieving operational excellence</w:t>
            </w:r>
          </w:p>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Experience of effective and engaging organisational communications</w:t>
            </w:r>
          </w:p>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Experience of leading and managing projects involving a number of stakeholders</w:t>
            </w:r>
          </w:p>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Experience of allocating and prioritising workload effectively to gain maximum productivity</w:t>
            </w:r>
          </w:p>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Experience of negotiating and managing contracts and delivery of procurement benefits including financial savings</w:t>
            </w:r>
          </w:p>
          <w:p>
            <w:pPr>
              <w:pStyle w:val="ListParagraph"/>
              <w:numPr>
                <w:ilvl w:val="0"/>
                <w:numId w:val="3"/>
              </w:numPr>
              <w:spacing w:lineRule="auto" w:line="240" w:before="0" w:after="0"/>
              <w:contextualSpacing/>
              <w:rPr>
                <w:rFonts w:ascii="Arial" w:hAnsi="Arial" w:cs="Arial"/>
                <w:color w:val="44494E"/>
              </w:rPr>
            </w:pPr>
            <w:r>
              <w:rPr>
                <w:rFonts w:cs="Arial" w:ascii="Arial" w:hAnsi="Arial"/>
                <w:color w:val="44494E"/>
              </w:rPr>
              <w:t>Strong IT Skills including Microsoft 365 product suite</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3"/>
              </w:numPr>
              <w:spacing w:lineRule="auto" w:line="240" w:before="0" w:after="0"/>
              <w:contextualSpacing/>
              <w:rPr>
                <w:rFonts w:ascii="Arial" w:hAnsi="Arial" w:eastAsia="Calibri" w:cs="Arial"/>
                <w:color w:val="44494E"/>
              </w:rPr>
            </w:pPr>
            <w:r>
              <w:rPr>
                <w:rFonts w:eastAsia="Calibri" w:cs="Arial" w:ascii="Arial" w:hAnsi="Arial"/>
                <w:color w:val="44494E"/>
              </w:rPr>
              <w:t>Experience of working in Education / Multi Academy Trust environment</w:t>
            </w:r>
          </w:p>
          <w:p>
            <w:pPr>
              <w:pStyle w:val="ListParagraph"/>
              <w:numPr>
                <w:ilvl w:val="0"/>
                <w:numId w:val="3"/>
              </w:numPr>
              <w:spacing w:lineRule="auto" w:line="240" w:before="0" w:after="0"/>
              <w:contextualSpacing/>
              <w:rPr>
                <w:rFonts w:ascii="Arial" w:hAnsi="Arial" w:eastAsia="Calibri" w:cs="Arial"/>
                <w:color w:val="44494E"/>
              </w:rPr>
            </w:pPr>
            <w:r>
              <w:rPr>
                <w:rFonts w:eastAsia="Calibri" w:cs="Arial" w:ascii="Arial" w:hAnsi="Arial"/>
                <w:color w:val="44494E"/>
              </w:rPr>
              <w:t>Experience of working with confidential information</w:t>
            </w:r>
          </w:p>
          <w:p>
            <w:pPr>
              <w:pStyle w:val="ListParagraph"/>
              <w:numPr>
                <w:ilvl w:val="0"/>
                <w:numId w:val="3"/>
              </w:numPr>
              <w:spacing w:lineRule="auto" w:line="240" w:before="0" w:after="0"/>
              <w:contextualSpacing/>
              <w:rPr>
                <w:rFonts w:ascii="Arial" w:hAnsi="Arial" w:eastAsia="Calibri" w:cs="Arial"/>
                <w:color w:val="44494E"/>
              </w:rPr>
            </w:pPr>
            <w:r>
              <w:rPr>
                <w:rFonts w:eastAsia="Calibri" w:cs="Arial" w:ascii="Arial" w:hAnsi="Arial"/>
                <w:color w:val="44494E"/>
              </w:rPr>
              <w:t>Awareness of and genuine interest in current issues in education</w:t>
            </w:r>
          </w:p>
          <w:p>
            <w:pPr>
              <w:pStyle w:val="ListParagraph"/>
              <w:numPr>
                <w:ilvl w:val="0"/>
                <w:numId w:val="3"/>
              </w:numPr>
              <w:spacing w:lineRule="auto" w:line="240" w:before="0" w:after="0"/>
              <w:contextualSpacing/>
              <w:rPr>
                <w:rFonts w:ascii="Arial" w:hAnsi="Arial" w:eastAsia="Calibri" w:cs="Arial"/>
                <w:color w:val="44494E"/>
              </w:rPr>
            </w:pPr>
            <w:r>
              <w:rPr>
                <w:rFonts w:eastAsia="Calibri" w:cs="Arial" w:ascii="Arial" w:hAnsi="Arial"/>
                <w:color w:val="44494E"/>
              </w:rPr>
              <w:t>Transaction or due diligence experience</w:t>
            </w:r>
          </w:p>
          <w:p>
            <w:pPr>
              <w:pStyle w:val="ListParagraph"/>
              <w:spacing w:lineRule="auto" w:line="240" w:before="0" w:after="0"/>
              <w:ind w:left="360" w:right="0" w:hanging="0"/>
              <w:contextualSpacing/>
              <w:rPr>
                <w:rFonts w:ascii="Arial" w:hAnsi="Arial" w:eastAsia="Calibri" w:cs="Arial"/>
                <w:color w:val="44494E"/>
              </w:rPr>
            </w:pPr>
            <w:r>
              <w:rPr>
                <w:rFonts w:eastAsia="Calibri" w:cs="Arial" w:ascii="Arial" w:hAnsi="Arial"/>
                <w:color w:val="44494E"/>
              </w:rPr>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4494E"/>
              </w:rPr>
            </w:pPr>
            <w:r>
              <w:rPr>
                <w:rFonts w:cs="Arial" w:ascii="Arial" w:hAnsi="Arial"/>
                <w:b/>
                <w:color w:val="44494E"/>
              </w:rPr>
              <w:t>Skills</w:t>
            </w:r>
          </w:p>
        </w:tc>
        <w:tc>
          <w:tcPr>
            <w:tcW w:w="3827" w:type="dxa"/>
            <w:tcBorders>
              <w:top w:val="single" w:sz="4" w:space="0" w:color="000000"/>
              <w:left w:val="single" w:sz="4" w:space="0" w:color="000000"/>
              <w:bottom w:val="single" w:sz="4" w:space="0" w:color="000000"/>
            </w:tcBorders>
            <w:shd w:fill="auto" w:val="clear"/>
          </w:tcPr>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Excellent planning and organisational skills</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 xml:space="preserve">Ability to work independently to organise own workload </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Strong interpersonal skills</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Highly motivated individual with an innovative approach</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Problem solving and analytical skills</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Strong compliance mindset</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 xml:space="preserve">Ability to demonstrate engaging oral and written communication  </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color w:val="44494E"/>
                <w:sz w:val="40"/>
                <w:szCs w:val="40"/>
              </w:rPr>
            </w:pPr>
            <w:r>
              <w:rPr>
                <w:rFonts w:cs="Arial" w:ascii="Arial" w:hAnsi="Arial"/>
                <w:b/>
                <w:color w:val="44494E"/>
                <w:sz w:val="40"/>
                <w:szCs w:val="40"/>
              </w:rPr>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4494E"/>
              </w:rPr>
            </w:pPr>
            <w:r>
              <w:rPr>
                <w:rFonts w:cs="Arial" w:ascii="Arial" w:hAnsi="Arial"/>
                <w:b/>
                <w:color w:val="44494E"/>
              </w:rPr>
              <w:t>Other Qualities</w:t>
            </w:r>
          </w:p>
        </w:tc>
        <w:tc>
          <w:tcPr>
            <w:tcW w:w="3827" w:type="dxa"/>
            <w:tcBorders>
              <w:top w:val="single" w:sz="4" w:space="0" w:color="000000"/>
              <w:left w:val="single" w:sz="4" w:space="0" w:color="000000"/>
              <w:bottom w:val="single" w:sz="4" w:space="0" w:color="000000"/>
            </w:tcBorders>
            <w:shd w:fill="auto" w:val="clear"/>
          </w:tcPr>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 xml:space="preserve">Ability to make effective decisions </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Ability to work accurately and methodically</w:t>
            </w:r>
          </w:p>
          <w:p>
            <w:pPr>
              <w:pStyle w:val="ListParagraph"/>
              <w:numPr>
                <w:ilvl w:val="0"/>
                <w:numId w:val="4"/>
              </w:numPr>
              <w:spacing w:lineRule="auto" w:line="240" w:before="0" w:after="0"/>
              <w:contextualSpacing/>
              <w:rPr>
                <w:rFonts w:ascii="Arial" w:hAnsi="Arial" w:cs="Arial"/>
                <w:color w:val="44494E"/>
                <w:lang w:eastAsia="en-GB"/>
              </w:rPr>
            </w:pPr>
            <w:r>
              <w:rPr>
                <w:rFonts w:cs="Arial" w:ascii="Arial" w:hAnsi="Arial"/>
                <w:color w:val="44494E"/>
                <w:lang w:eastAsia="en-GB"/>
              </w:rPr>
              <w:t xml:space="preserve">Excellent time management </w:t>
            </w:r>
          </w:p>
          <w:p>
            <w:pPr>
              <w:pStyle w:val="ListParagraph"/>
              <w:numPr>
                <w:ilvl w:val="0"/>
                <w:numId w:val="4"/>
              </w:numPr>
              <w:spacing w:lineRule="auto" w:line="240" w:before="0" w:after="0"/>
              <w:contextualSpacing/>
              <w:rPr>
                <w:rFonts w:ascii="Arial" w:hAnsi="Arial" w:cs="Arial"/>
                <w:color w:val="44494E"/>
                <w:lang w:eastAsia="en-GB"/>
              </w:rPr>
            </w:pPr>
            <w:r>
              <w:rPr>
                <w:rFonts w:cs="Arial" w:ascii="Arial" w:hAnsi="Arial"/>
                <w:color w:val="44494E"/>
                <w:lang w:eastAsia="en-GB"/>
              </w:rPr>
              <w:t>Ability to remain calm under pressure</w:t>
            </w:r>
          </w:p>
          <w:p>
            <w:pPr>
              <w:pStyle w:val="ListParagraph"/>
              <w:numPr>
                <w:ilvl w:val="0"/>
                <w:numId w:val="4"/>
              </w:numPr>
              <w:spacing w:lineRule="auto" w:line="240" w:before="0" w:after="0"/>
              <w:contextualSpacing/>
              <w:rPr>
                <w:rFonts w:ascii="Arial" w:hAnsi="Arial" w:cs="Arial"/>
                <w:color w:val="44494E"/>
                <w:lang w:eastAsia="en-GB"/>
              </w:rPr>
            </w:pPr>
            <w:r>
              <w:rPr>
                <w:rFonts w:cs="Arial" w:ascii="Arial" w:hAnsi="Arial"/>
                <w:color w:val="44494E"/>
                <w:lang w:eastAsia="en-GB"/>
              </w:rPr>
              <w:t>Flexible</w:t>
            </w:r>
          </w:p>
          <w:p>
            <w:pPr>
              <w:pStyle w:val="ListParagraph"/>
              <w:numPr>
                <w:ilvl w:val="0"/>
                <w:numId w:val="4"/>
              </w:numPr>
              <w:spacing w:lineRule="auto" w:line="240" w:before="0" w:after="0"/>
              <w:contextualSpacing/>
              <w:rPr>
                <w:rFonts w:ascii="Arial" w:hAnsi="Arial" w:cs="Arial"/>
                <w:color w:val="44494E"/>
                <w:lang w:eastAsia="en-GB"/>
              </w:rPr>
            </w:pPr>
            <w:r>
              <w:rPr>
                <w:rFonts w:cs="Arial" w:ascii="Arial" w:hAnsi="Arial"/>
                <w:color w:val="44494E"/>
                <w:lang w:eastAsia="en-GB"/>
              </w:rPr>
              <w:t>Good team player</w:t>
            </w:r>
          </w:p>
          <w:p>
            <w:pPr>
              <w:pStyle w:val="ListParagraph"/>
              <w:numPr>
                <w:ilvl w:val="0"/>
                <w:numId w:val="4"/>
              </w:numPr>
              <w:spacing w:lineRule="auto" w:line="240" w:before="0" w:after="0"/>
              <w:contextualSpacing/>
              <w:rPr>
                <w:rFonts w:ascii="Arial" w:hAnsi="Arial" w:cs="Arial"/>
                <w:color w:val="44494E"/>
                <w:lang w:eastAsia="en-GB"/>
              </w:rPr>
            </w:pPr>
            <w:r>
              <w:rPr>
                <w:rFonts w:cs="Arial" w:ascii="Arial" w:hAnsi="Arial"/>
                <w:color w:val="44494E"/>
                <w:lang w:eastAsia="en-GB"/>
              </w:rPr>
              <w:t>Willingness to undertake further training</w:t>
            </w:r>
          </w:p>
          <w:p>
            <w:pPr>
              <w:pStyle w:val="ListParagraph"/>
              <w:numPr>
                <w:ilvl w:val="0"/>
                <w:numId w:val="4"/>
              </w:numPr>
              <w:spacing w:lineRule="auto" w:line="240" w:before="0" w:after="0"/>
              <w:contextualSpacing/>
              <w:rPr>
                <w:rFonts w:ascii="Arial" w:hAnsi="Arial" w:cs="Arial"/>
                <w:color w:val="44494E"/>
              </w:rPr>
            </w:pPr>
            <w:r>
              <w:rPr>
                <w:rFonts w:cs="Arial" w:ascii="Arial" w:hAnsi="Arial"/>
                <w:color w:val="44494E"/>
              </w:rPr>
              <w:t>Commitment to safeguarding and promoting the welfare of children</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contextualSpacing/>
              <w:rPr>
                <w:rFonts w:ascii="Arial" w:hAnsi="Arial" w:cs="Arial"/>
                <w:color w:val="44494E"/>
                <w:lang w:eastAsia="en-GB"/>
              </w:rPr>
            </w:pPr>
            <w:r>
              <w:rPr>
                <w:rFonts w:cs="Arial" w:ascii="Arial" w:hAnsi="Arial"/>
                <w:color w:val="44494E"/>
                <w:lang w:eastAsia="en-GB"/>
              </w:rPr>
              <w:t>Full driving licence</w:t>
            </w:r>
          </w:p>
          <w:p>
            <w:pPr>
              <w:pStyle w:val="Normal"/>
              <w:spacing w:lineRule="auto" w:line="240" w:before="0" w:after="0"/>
              <w:rPr>
                <w:rFonts w:ascii="Arial" w:hAnsi="Arial" w:cs="Arial"/>
                <w:b/>
                <w:b/>
                <w:color w:val="44494E"/>
                <w:sz w:val="40"/>
                <w:szCs w:val="40"/>
              </w:rPr>
            </w:pPr>
            <w:r>
              <w:rPr>
                <w:rFonts w:cs="Arial" w:ascii="Arial" w:hAnsi="Arial"/>
                <w:b/>
                <w:color w:val="44494E"/>
                <w:sz w:val="40"/>
                <w:szCs w:val="40"/>
              </w:rPr>
            </w:r>
          </w:p>
        </w:tc>
      </w:tr>
    </w:tbl>
    <w:p>
      <w:pPr>
        <w:pStyle w:val="Normal"/>
        <w:rPr>
          <w:rFonts w:ascii="Arial" w:hAnsi="Arial" w:cs="Arial"/>
          <w:b/>
          <w:b/>
          <w:color w:val="44494E"/>
          <w:sz w:val="40"/>
          <w:szCs w:val="40"/>
        </w:rPr>
      </w:pPr>
      <w:r>
        <w:rPr>
          <w:rFonts w:cs="Arial" w:ascii="Arial" w:hAnsi="Arial"/>
          <w:b/>
          <w:color w:val="44494E"/>
          <w:sz w:val="40"/>
          <w:szCs w:val="40"/>
        </w:rPr>
      </w:r>
    </w:p>
    <w:p>
      <w:pPr>
        <w:pStyle w:val="Normal"/>
        <w:spacing w:before="0" w:after="160"/>
        <w:jc w:val="center"/>
        <w:rPr>
          <w:rFonts w:ascii="Arial" w:hAnsi="Arial" w:cs="Arial"/>
          <w:b/>
          <w:b/>
          <w:color w:val="44494E"/>
          <w:sz w:val="40"/>
          <w:szCs w:val="40"/>
        </w:rPr>
      </w:pPr>
      <w:r>
        <w:rPr>
          <w:rFonts w:cs="Arial" w:ascii="Arial" w:hAnsi="Arial"/>
          <w:b/>
          <w:color w:val="44494E"/>
          <w:sz w:val="40"/>
          <w:szCs w:val="40"/>
        </w:rPr>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Arial"/>
      <w:b/>
      <w:sz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4"/>
      <w:lang w:val="en-US" w:eastAsia="en-US" w:bidi="ar-SA"/>
    </w:rPr>
  </w:style>
  <w:style w:type="paragraph" w:styleId="ListParagraph">
    <w:name w:val="List Paragraph"/>
    <w:basedOn w:val="Normal"/>
    <w:qFormat/>
    <w:pPr>
      <w:spacing w:before="0" w:after="160"/>
      <w:ind w:left="720" w:right="0" w:hanging="0"/>
      <w:contextualSpacing/>
    </w:pPr>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2026-05-13T13:10:00Z</dcterms:created>
  <dc:creator>Wendy Mason</dc:creator>
  <dc:description/>
  <dc:language>en-US</dc:language>
  <cp:lastModifiedBy>A Carr</cp:lastModifiedBy>
  <cp:lastPrinted>1995-11-21T17:41:00Z</cp:lastPrinted>
  <dcterms:modified xsi:type="dcterms:W3CDTF">2026-05-13T13:10:00Z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0x010100490778CCDDBA604BAB0BFFE5B68FBECB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