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Verdana" w:hAnsi="Verdana" w:cs="Verdana"/>
          <w:sz w:val="18"/>
          <w:szCs w:val="18"/>
        </w:rPr>
      </w:pPr>
      <w:r>
        <w:rPr/>
        <w:drawing>
          <wp:inline distT="0" distB="0" distL="0" distR="0">
            <wp:extent cx="7131050" cy="10191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35" r="-5" b="-35"/>
                    <a:stretch>
                      <a:fillRect/>
                    </a:stretch>
                  </pic:blipFill>
                  <pic:spPr bwMode="auto">
                    <a:xfrm>
                      <a:off x="0" y="0"/>
                      <a:ext cx="7131050" cy="1019175"/>
                    </a:xfrm>
                    <a:prstGeom prst="rect">
                      <a:avLst/>
                    </a:prstGeom>
                  </pic:spPr>
                </pic:pic>
              </a:graphicData>
            </a:graphic>
          </wp:inline>
        </w:drawing>
      </w:r>
    </w:p>
    <w:p>
      <w:pPr>
        <w:pStyle w:val="Normal"/>
        <w:rPr>
          <w:rFonts w:ascii="Verdana" w:hAnsi="Verdana" w:cs="Verdana"/>
          <w:sz w:val="18"/>
          <w:szCs w:val="18"/>
        </w:rPr>
      </w:pPr>
      <w:r>
        <w:rPr>
          <w:rFonts w:cs="Verdana" w:ascii="Verdana" w:hAnsi="Verdana"/>
          <w:sz w:val="18"/>
          <w:szCs w:val="18"/>
        </w:rPr>
      </w:r>
    </w:p>
    <w:p>
      <w:pPr>
        <w:pStyle w:val="Normal"/>
        <w:jc w:val="center"/>
        <w:rPr>
          <w:rFonts w:ascii="Verdana" w:hAnsi="Verdana" w:cs="Verdana"/>
          <w:b/>
          <w:sz w:val="24"/>
        </w:rPr>
      </w:pPr>
      <w:r>
        <w:rPr>
          <w:rFonts w:cs="Verdana" w:ascii="Verdana" w:hAnsi="Verdana"/>
          <w:b/>
          <w:sz w:val="24"/>
        </w:rPr>
        <w:t>Stockport Council</w:t>
      </w:r>
    </w:p>
    <w:p>
      <w:pPr>
        <w:pStyle w:val="Normal"/>
        <w:jc w:val="center"/>
        <w:rPr>
          <w:rFonts w:ascii="Verdana" w:hAnsi="Verdana" w:cs="Verdana"/>
          <w:b/>
          <w:sz w:val="24"/>
        </w:rPr>
      </w:pPr>
      <w:r>
        <w:rPr>
          <w:rFonts w:cs="Verdana" w:ascii="Verdana" w:hAnsi="Verdana"/>
          <w:b/>
          <w:sz w:val="24"/>
        </w:rPr>
        <w:t>Competency Person Specification</w:t>
      </w:r>
    </w:p>
    <w:p>
      <w:pPr>
        <w:pStyle w:val="Normal"/>
        <w:jc w:val="center"/>
        <w:rPr>
          <w:rFonts w:ascii="Verdana" w:hAnsi="Verdana" w:cs="Verdana"/>
          <w:b/>
          <w:sz w:val="18"/>
          <w:szCs w:val="18"/>
        </w:rPr>
      </w:pPr>
      <w:r>
        <w:rPr>
          <w:rFonts w:cs="Verdana" w:ascii="Verdana" w:hAnsi="Verdana"/>
          <w:b/>
          <w:sz w:val="18"/>
          <w:szCs w:val="18"/>
        </w:rPr>
      </w:r>
    </w:p>
    <w:p>
      <w:pPr>
        <w:pStyle w:val="Normal"/>
        <w:tabs>
          <w:tab w:val="left" w:pos="720" w:leader="none"/>
          <w:tab w:val="left" w:pos="1440" w:leader="none"/>
          <w:tab w:val="left" w:pos="2160" w:leader="none"/>
          <w:tab w:val="left" w:pos="2880" w:leader="none"/>
          <w:tab w:val="left" w:pos="6570" w:leader="none"/>
        </w:tabs>
        <w:rPr/>
      </w:pPr>
      <w:r>
        <w:rPr>
          <w:rFonts w:eastAsia="Verdana" w:cs="Verdana" w:ascii="Verdana" w:hAnsi="Verdana"/>
          <w:sz w:val="22"/>
          <w:szCs w:val="22"/>
        </w:rPr>
        <w:t xml:space="preserve"> </w:t>
      </w:r>
      <w:r>
        <w:rPr>
          <w:rFonts w:cs="Verdana" w:ascii="Verdana" w:hAnsi="Verdana"/>
          <w:b/>
          <w:sz w:val="22"/>
          <w:szCs w:val="22"/>
        </w:rPr>
        <w:t>Post Title</w:t>
      </w:r>
      <w:r>
        <w:rPr>
          <w:rFonts w:cs="Verdana" w:ascii="Verdana" w:hAnsi="Verdana"/>
          <w:sz w:val="22"/>
          <w:szCs w:val="22"/>
        </w:rPr>
        <w:t xml:space="preserve">: </w:t>
      </w:r>
      <w:r>
        <w:rPr>
          <w:rFonts w:cs="Verdana" w:ascii="Verdana" w:hAnsi="Verdana"/>
        </w:rPr>
        <w:t>Deputy Headteacher - Primary</w:t>
      </w:r>
    </w:p>
    <w:p>
      <w:pPr>
        <w:pStyle w:val="Normal"/>
        <w:tabs>
          <w:tab w:val="left" w:pos="720" w:leader="none"/>
          <w:tab w:val="left" w:pos="1440" w:leader="none"/>
          <w:tab w:val="left" w:pos="2160" w:leader="none"/>
          <w:tab w:val="left" w:pos="2880" w:leader="none"/>
          <w:tab w:val="left" w:pos="6570" w:leader="none"/>
        </w:tabs>
        <w:rPr>
          <w:rFonts w:ascii="Verdana" w:hAnsi="Verdana" w:cs="Verdana"/>
          <w:sz w:val="22"/>
          <w:szCs w:val="22"/>
        </w:rPr>
      </w:pPr>
      <w:r>
        <w:rPr>
          <w:rFonts w:cs="Verdana" w:ascii="Verdana" w:hAnsi="Verdana"/>
          <w:sz w:val="22"/>
          <w:szCs w:val="22"/>
        </w:rPr>
      </w:r>
    </w:p>
    <w:p>
      <w:pPr>
        <w:pStyle w:val="Normal"/>
        <w:jc w:val="both"/>
        <w:rPr>
          <w:rFonts w:ascii="Verdana" w:hAnsi="Verdana" w:cs="Verdana"/>
        </w:rPr>
      </w:pPr>
      <w:r>
        <w:rPr>
          <w:rFonts w:cs="Verdana" w:ascii="Verdana" w:hAnsi="Verdana"/>
        </w:rPr>
        <w:t xml:space="preserve">The criteria listed below represent the most important skills, experience, technical expertise and qualifications needed for this job role.  </w:t>
      </w:r>
    </w:p>
    <w:p>
      <w:pPr>
        <w:pStyle w:val="Normal"/>
        <w:jc w:val="both"/>
        <w:rPr>
          <w:rFonts w:ascii="Verdana" w:hAnsi="Verdana" w:cs="Verdana"/>
        </w:rPr>
      </w:pPr>
      <w:r>
        <w:rPr>
          <w:rFonts w:cs="Verdana" w:ascii="Verdana" w:hAnsi="Verdana"/>
        </w:rPr>
        <w:t>Your application will be assessed against these criteria to determine whether or not you are shortlisted for interview.  Any interview questions or additional assessments (tests, presentations etc.) will be broadly based on the criteria below.</w:t>
      </w:r>
    </w:p>
    <w:p>
      <w:pPr>
        <w:pStyle w:val="Normal"/>
        <w:rPr>
          <w:rFonts w:ascii="Verdana" w:hAnsi="Verdana" w:cs="Verdana"/>
        </w:rPr>
      </w:pPr>
      <w:r>
        <w:rPr>
          <w:rFonts w:cs="Verdana" w:ascii="Verdana" w:hAnsi="Verdana"/>
        </w:rPr>
      </w:r>
    </w:p>
    <w:tbl>
      <w:tblPr>
        <w:tblW w:w="10828" w:type="dxa"/>
        <w:jc w:val="left"/>
        <w:tblInd w:w="216" w:type="dxa"/>
        <w:tblLayout w:type="fixed"/>
        <w:tblCellMar>
          <w:top w:w="0" w:type="dxa"/>
          <w:left w:w="108" w:type="dxa"/>
          <w:bottom w:w="0" w:type="dxa"/>
          <w:right w:w="108" w:type="dxa"/>
        </w:tblCellMar>
      </w:tblPr>
      <w:tblGrid>
        <w:gridCol w:w="6266"/>
        <w:gridCol w:w="567"/>
        <w:gridCol w:w="567"/>
        <w:gridCol w:w="567"/>
        <w:gridCol w:w="567"/>
        <w:gridCol w:w="567"/>
        <w:gridCol w:w="1704"/>
        <w:gridCol w:w="14"/>
        <w:gridCol w:w="9"/>
      </w:tblGrid>
      <w:tr>
        <w:trPr>
          <w:trHeight w:val="550" w:hRule="atLeast"/>
        </w:trPr>
        <w:tc>
          <w:tcPr>
            <w:tcW w:w="6266"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0"/>
              <w:rPr>
                <w:rFonts w:ascii="Verdana" w:hAnsi="Verdana" w:cs="Verdana"/>
                <w:b/>
              </w:rPr>
            </w:pPr>
            <w:r>
              <w:rPr>
                <w:rFonts w:cs="Verdana" w:ascii="Verdana" w:hAnsi="Verdana"/>
                <w:b/>
              </w:rPr>
              <w:t>Competency</w:t>
            </w:r>
          </w:p>
        </w:tc>
        <w:tc>
          <w:tcPr>
            <w:tcW w:w="2835" w:type="dxa"/>
            <w:gridSpan w:val="5"/>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SCORE</w:t>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 or Desirable</w:t>
            </w:r>
          </w:p>
        </w:tc>
        <w:tc>
          <w:tcPr>
            <w:tcW w:w="23" w:type="dxa"/>
            <w:tcBorders/>
          </w:tcPr>
          <w:p>
            <w:pPr>
              <w:pStyle w:val="Normal"/>
              <w:snapToGrid w:val="false"/>
              <w:rPr/>
            </w:pPr>
            <w:r>
              <w:rPr/>
            </w:r>
          </w:p>
        </w:tc>
      </w:tr>
      <w:tr>
        <w:trPr>
          <w:trHeight w:val="428" w:hRule="atLeast"/>
        </w:trPr>
        <w:tc>
          <w:tcPr>
            <w:tcW w:w="62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b/>
              </w:rPr>
            </w:pPr>
            <w:r>
              <w:rPr>
                <w:rFonts w:cs="Verdana" w:ascii="Verdana" w:hAnsi="Verdana"/>
                <w:b/>
              </w:rPr>
            </w:r>
          </w:p>
        </w:tc>
        <w:tc>
          <w:tcPr>
            <w:tcW w:w="567"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0</w:t>
            </w:r>
          </w:p>
        </w:tc>
        <w:tc>
          <w:tcPr>
            <w:tcW w:w="567"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1</w:t>
            </w:r>
          </w:p>
        </w:tc>
        <w:tc>
          <w:tcPr>
            <w:tcW w:w="567"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2</w:t>
            </w:r>
          </w:p>
        </w:tc>
        <w:tc>
          <w:tcPr>
            <w:tcW w:w="567"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3</w:t>
            </w:r>
          </w:p>
        </w:tc>
        <w:tc>
          <w:tcPr>
            <w:tcW w:w="567"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4</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Verdana" w:hAnsi="Verdana" w:cs="Verdana"/>
                <w:b/>
              </w:rPr>
            </w:pPr>
            <w:r>
              <w:rPr>
                <w:rFonts w:cs="Verdana" w:ascii="Verdana" w:hAnsi="Verdana"/>
                <w:b/>
              </w:rPr>
            </w:r>
          </w:p>
        </w:tc>
        <w:tc>
          <w:tcPr>
            <w:tcW w:w="23" w:type="dxa"/>
            <w:tcBorders/>
          </w:tcPr>
          <w:p>
            <w:pPr>
              <w:pStyle w:val="Normal"/>
              <w:snapToGrid w:val="false"/>
              <w:rPr>
                <w:rFonts w:ascii="Verdana" w:hAnsi="Verdana" w:cs="Verdana"/>
                <w:b/>
              </w:rPr>
            </w:pPr>
            <w:r>
              <w:rPr>
                <w:rFonts w:cs="Verdana" w:ascii="Verdana" w:hAnsi="Verdana"/>
                <w:b/>
              </w:rPr>
            </w:r>
          </w:p>
        </w:tc>
      </w:tr>
      <w:tr>
        <w:trPr>
          <w:trHeight w:val="420" w:hRule="atLeast"/>
        </w:trPr>
        <w:tc>
          <w:tcPr>
            <w:tcW w:w="10805" w:type="dxa"/>
            <w:gridSpan w:val="7"/>
            <w:tcBorders>
              <w:top w:val="single" w:sz="4" w:space="0" w:color="000000"/>
              <w:left w:val="single" w:sz="4" w:space="0" w:color="000000"/>
              <w:bottom w:val="single" w:sz="4" w:space="0" w:color="000000"/>
              <w:right w:val="single" w:sz="4" w:space="0" w:color="000000"/>
            </w:tcBorders>
          </w:tcPr>
          <w:p>
            <w:pPr>
              <w:pStyle w:val="Normal"/>
              <w:spacing w:before="120" w:after="120"/>
              <w:rPr>
                <w:rFonts w:ascii="Verdana" w:hAnsi="Verdana" w:cs="Verdana"/>
                <w:b/>
              </w:rPr>
            </w:pPr>
            <w:r>
              <w:rPr>
                <w:rFonts w:cs="Verdana" w:ascii="Verdana" w:hAnsi="Verdana"/>
                <w:b/>
              </w:rPr>
              <w:t>Knowledge</w:t>
            </w:r>
          </w:p>
        </w:tc>
        <w:tc>
          <w:tcPr>
            <w:tcW w:w="23" w:type="dxa"/>
            <w:tcBorders/>
          </w:tcPr>
          <w:p>
            <w:pPr>
              <w:pStyle w:val="Normal"/>
              <w:snapToGrid w:val="false"/>
              <w:rPr/>
            </w:pPr>
            <w:r>
              <w:rPr/>
            </w:r>
          </w:p>
        </w:tc>
      </w:tr>
      <w:tr>
        <w:trPr>
          <w:trHeight w:val="41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rPr>
                <w:rFonts w:ascii="Verdana" w:hAnsi="Verdana" w:cs="Verdana"/>
              </w:rPr>
            </w:pPr>
            <w:r>
              <w:rPr>
                <w:rFonts w:cs="Verdana" w:ascii="Verdana" w:hAnsi="Verdana"/>
              </w:rPr>
              <w:t xml:space="preserve">Knowledge and understanding of the National Curriculum and key stages at primary phase </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392"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rPr>
                <w:rFonts w:ascii="Verdana" w:hAnsi="Verdana" w:cs="Verdana"/>
              </w:rPr>
            </w:pPr>
            <w:r>
              <w:rPr>
                <w:rFonts w:cs="Verdana" w:ascii="Verdana" w:hAnsi="Verdana"/>
              </w:rPr>
              <w:t>Knowledge of current issues and initiatives in Education</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392"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rPr/>
            </w:pPr>
            <w:r>
              <w:rPr>
                <w:rFonts w:cs="Verdana" w:ascii="Verdana" w:hAnsi="Verdana"/>
              </w:rPr>
              <w:t xml:space="preserve">Knowledge and practical understanding of ICT and of common tools which can be used to benefit and advance pupils’ learning </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392"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rPr>
                <w:rFonts w:ascii="Verdana" w:hAnsi="Verdana" w:cs="Verdana"/>
              </w:rPr>
            </w:pPr>
            <w:r>
              <w:rPr>
                <w:rFonts w:cs="Verdana" w:ascii="Verdana" w:hAnsi="Verdana"/>
              </w:rPr>
              <w:t>Knowledge of and a commitment to equal opportunities and to the use of a variety of strategies and practices to promote and address diverse cultural and equality issues in the classroom</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392"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rPr>
                <w:rFonts w:ascii="Verdana" w:hAnsi="Verdana" w:cs="Verdana"/>
              </w:rPr>
            </w:pPr>
            <w:r>
              <w:rPr>
                <w:rFonts w:cs="Verdana" w:ascii="Verdana" w:hAnsi="Verdana"/>
              </w:rPr>
              <w:t>Up-to-date knowledge of safeguarding policies and procedures including Keeping Children Safe in Education</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392"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Working knowledge and understanding of making referrals and liaising with external agencies including children’s services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Desirable</w:t>
            </w:r>
          </w:p>
        </w:tc>
        <w:tc>
          <w:tcPr>
            <w:tcW w:w="23" w:type="dxa"/>
            <w:tcBorders/>
          </w:tcPr>
          <w:p>
            <w:pPr>
              <w:pStyle w:val="Normal"/>
              <w:snapToGrid w:val="false"/>
              <w:rPr/>
            </w:pPr>
            <w:r>
              <w:rPr/>
            </w:r>
          </w:p>
        </w:tc>
      </w:tr>
      <w:tr>
        <w:trPr>
          <w:trHeight w:val="392"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Knowledge and understanding of the role of a DSL safeguarding culture.</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Desirable</w:t>
            </w:r>
          </w:p>
        </w:tc>
        <w:tc>
          <w:tcPr>
            <w:tcW w:w="23" w:type="dxa"/>
            <w:tcBorders/>
          </w:tcPr>
          <w:p>
            <w:pPr>
              <w:pStyle w:val="Normal"/>
              <w:snapToGrid w:val="false"/>
              <w:rPr/>
            </w:pPr>
            <w:r>
              <w:rPr/>
            </w:r>
          </w:p>
        </w:tc>
      </w:tr>
      <w:tr>
        <w:trPr>
          <w:trHeight w:val="337" w:hRule="atLeast"/>
        </w:trPr>
        <w:tc>
          <w:tcPr>
            <w:tcW w:w="10805" w:type="dxa"/>
            <w:gridSpan w:val="7"/>
            <w:tcBorders>
              <w:top w:val="single" w:sz="4" w:space="0" w:color="000000"/>
              <w:left w:val="single" w:sz="4" w:space="0" w:color="000000"/>
              <w:bottom w:val="single" w:sz="4" w:space="0" w:color="000000"/>
              <w:right w:val="single" w:sz="4" w:space="0" w:color="000000"/>
            </w:tcBorders>
          </w:tcPr>
          <w:p>
            <w:pPr>
              <w:pStyle w:val="Normal"/>
              <w:spacing w:before="120" w:after="120"/>
              <w:rPr>
                <w:rFonts w:ascii="Verdana" w:hAnsi="Verdana" w:cs="Verdana"/>
                <w:b/>
              </w:rPr>
            </w:pPr>
            <w:r>
              <w:rPr>
                <w:rFonts w:cs="Verdana" w:ascii="Verdana" w:hAnsi="Verdana"/>
                <w:b/>
              </w:rPr>
              <w:t>Experience</w:t>
            </w:r>
          </w:p>
        </w:tc>
        <w:tc>
          <w:tcPr>
            <w:tcW w:w="23" w:type="dxa"/>
            <w:tcBorders/>
          </w:tcPr>
          <w:p>
            <w:pPr>
              <w:pStyle w:val="Normal"/>
              <w:snapToGrid w:val="false"/>
              <w:rPr/>
            </w:pPr>
            <w:r>
              <w:rPr/>
            </w:r>
          </w:p>
        </w:tc>
      </w:tr>
      <w:tr>
        <w:trPr>
          <w:trHeight w:val="529"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jc w:val="both"/>
              <w:rPr>
                <w:rFonts w:ascii="Verdana" w:hAnsi="Verdana" w:cs="Verdana"/>
              </w:rPr>
            </w:pPr>
            <w:r>
              <w:rPr>
                <w:rFonts w:cs="Verdana" w:ascii="Verdana" w:hAnsi="Verdana"/>
              </w:rPr>
              <w:t>Experience of working successfully as part of a Senior/Middle Leadership Team in a school</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jc w:val="both"/>
              <w:rPr>
                <w:rFonts w:ascii="Verdana" w:hAnsi="Verdana" w:cs="Verdana"/>
              </w:rPr>
            </w:pPr>
            <w:r>
              <w:rPr>
                <w:rFonts w:cs="Verdana" w:ascii="Verdana" w:hAnsi="Verdana"/>
              </w:rPr>
              <w:t>Proven experience of leading on a significant area, including responsibility for raising standards across the whole school</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jc w:val="both"/>
              <w:rPr>
                <w:rFonts w:ascii="Verdana" w:hAnsi="Verdana" w:cs="Verdana"/>
              </w:rPr>
            </w:pPr>
            <w:r>
              <w:rPr>
                <w:rFonts w:cs="Verdana" w:ascii="Verdana" w:hAnsi="Verdana"/>
              </w:rPr>
              <w:t>A track record of raising educational standards for all in the pursuit of excellence by setting and working with performance targets to raise school achievement</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jc w:val="both"/>
              <w:rPr>
                <w:rFonts w:ascii="Verdana" w:hAnsi="Verdana" w:cs="Verdana"/>
              </w:rPr>
            </w:pPr>
            <w:r>
              <w:rPr>
                <w:rFonts w:cs="Verdana" w:ascii="Verdana" w:hAnsi="Verdana"/>
              </w:rPr>
              <w:t>Experience of leadership in school development planning, self-evaluation and monitoring</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Desirable</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jc w:val="both"/>
              <w:rPr>
                <w:rFonts w:ascii="Verdana" w:hAnsi="Verdana" w:cs="Verdana"/>
              </w:rPr>
            </w:pPr>
            <w:r>
              <w:rPr>
                <w:rFonts w:cs="Verdana" w:ascii="Verdana" w:hAnsi="Verdana"/>
              </w:rPr>
              <w:t>Experience of demonstrating and sharing high expectations of children and colleagues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 xml:space="preserve">Experience of and ability to create a stimulating and safe learning environment </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 xml:space="preserve">Experience of planning, preparing and teaching a Key Stage 2 curriculum </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Experience of assessing and recording the progress of pupils’ learning to inform next steps and to monitor progress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361"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Experience of involvement with parents / guardians and the wider community</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10819" w:type="dxa"/>
            <w:gridSpan w:val="8"/>
            <w:tcBorders>
              <w:top w:val="single" w:sz="4" w:space="0" w:color="000000"/>
              <w:left w:val="single" w:sz="4" w:space="0" w:color="000000"/>
              <w:bottom w:val="single" w:sz="4" w:space="0" w:color="000000"/>
              <w:right w:val="single" w:sz="4" w:space="0" w:color="000000"/>
            </w:tcBorders>
          </w:tcPr>
          <w:p>
            <w:pPr>
              <w:pStyle w:val="Normal"/>
              <w:spacing w:before="120" w:after="120"/>
              <w:rPr>
                <w:rFonts w:ascii="Verdana" w:hAnsi="Verdana" w:cs="Verdana"/>
                <w:b/>
              </w:rPr>
            </w:pPr>
            <w:r>
              <w:rPr>
                <w:rFonts w:cs="Verdana" w:ascii="Verdana" w:hAnsi="Verdana"/>
                <w:b/>
              </w:rPr>
              <w:t>Skills</w:t>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Evidence of having led effective curriculum planning and development to secure improvement across the whole school</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p>
            <w:pPr>
              <w:pStyle w:val="Normal"/>
              <w:rPr>
                <w:rFonts w:ascii="Verdana" w:hAnsi="Verdana" w:cs="Verdana"/>
                <w:b/>
              </w:rPr>
            </w:pPr>
            <w:r>
              <w:rPr>
                <w:rFonts w:cs="Verdana" w:ascii="Verdana" w:hAnsi="Verdana"/>
                <w:b/>
              </w:rPr>
            </w:r>
          </w:p>
        </w:tc>
        <w:tc>
          <w:tcPr>
            <w:tcW w:w="23" w:type="dxa"/>
            <w:tcBorders/>
          </w:tcPr>
          <w:p>
            <w:pPr>
              <w:pStyle w:val="Normal"/>
              <w:snapToGrid w:val="false"/>
              <w:rPr>
                <w:rFonts w:ascii="Verdana" w:hAnsi="Verdana" w:cs="Verdana"/>
                <w:b/>
              </w:rPr>
            </w:pPr>
            <w:r>
              <w:rPr>
                <w:rFonts w:cs="Verdana" w:ascii="Verdana" w:hAnsi="Verdana"/>
                <w:b/>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Evidence of major whole school responsibilities and experience of turning policy into effective and successful practice</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 xml:space="preserve">Evidence of evaluating data to inform improvements and future planning </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bookmarkStart w:id="0" w:name="_GoBack"/>
            <w:bookmarkStart w:id="1" w:name="_GoBack"/>
            <w:bookmarkEnd w:id="1"/>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Ability to inspire, challenge, coach and mentor individuals to achieve specific outcomes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A clear rationale for behaviour management and a proven track record of the effective implementation of a range of behaviour management strategies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p>
            <w:pPr>
              <w:pStyle w:val="Normal"/>
              <w:rPr>
                <w:rFonts w:ascii="Verdana" w:hAnsi="Verdana" w:cs="Verdana"/>
                <w:b/>
              </w:rPr>
            </w:pPr>
            <w:r>
              <w:rPr>
                <w:rFonts w:cs="Verdana" w:ascii="Verdana" w:hAnsi="Verdana"/>
                <w:b/>
              </w:rPr>
            </w:r>
          </w:p>
        </w:tc>
        <w:tc>
          <w:tcPr>
            <w:tcW w:w="23" w:type="dxa"/>
            <w:tcBorders/>
          </w:tcPr>
          <w:p>
            <w:pPr>
              <w:pStyle w:val="Normal"/>
              <w:snapToGrid w:val="false"/>
              <w:rPr>
                <w:rFonts w:ascii="Verdana" w:hAnsi="Verdana" w:cs="Verdana"/>
                <w:b/>
              </w:rPr>
            </w:pPr>
            <w:r>
              <w:rPr>
                <w:rFonts w:cs="Verdana" w:ascii="Verdana" w:hAnsi="Verdana"/>
                <w:b/>
              </w:rPr>
            </w:r>
          </w:p>
        </w:tc>
      </w:tr>
      <w:tr>
        <w:trPr>
          <w:trHeight w:val="643"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 w:val="left" w:pos="5595" w:leader="none"/>
              </w:tabs>
              <w:spacing w:lineRule="auto" w:line="211" w:before="120" w:after="120"/>
              <w:rPr>
                <w:rFonts w:ascii="Verdana" w:hAnsi="Verdana" w:cs="Verdana"/>
              </w:rPr>
            </w:pPr>
            <w:r>
              <w:rPr>
                <w:rFonts w:cs="Verdana" w:ascii="Verdana" w:hAnsi="Verdana"/>
              </w:rPr>
              <w:t>Ability to lead by example and to motivate others to work effectively as both an individual and a team member</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643"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 w:val="left" w:pos="5595" w:leader="none"/>
              </w:tabs>
              <w:spacing w:lineRule="auto" w:line="211" w:before="120" w:after="120"/>
              <w:rPr>
                <w:rFonts w:ascii="Verdana" w:hAnsi="Verdana" w:cs="Verdana"/>
              </w:rPr>
            </w:pPr>
            <w:r>
              <w:rPr>
                <w:rFonts w:cs="Verdana" w:ascii="Verdana" w:hAnsi="Verdana"/>
              </w:rPr>
              <w:t>Excellent communication, influencing, interpersonal and listening skills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rPr>
                <w:rFonts w:ascii="Verdana" w:hAnsi="Verdana" w:cs="Verdana"/>
              </w:rPr>
            </w:pPr>
            <w:r>
              <w:rPr>
                <w:rFonts w:cs="Verdana" w:ascii="Verdana" w:hAnsi="Verdana"/>
              </w:rPr>
              <w:t>Ability to teach using a wide variety of strategies to maximise achievement for all children including those with special educational needs and high achievers and to meet differing learning styles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653"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rPr>
                <w:rFonts w:ascii="Verdana" w:hAnsi="Verdana" w:cs="Verdana"/>
              </w:rPr>
            </w:pPr>
            <w:r>
              <w:rPr>
                <w:rFonts w:cs="Verdana" w:ascii="Verdana" w:hAnsi="Verdana"/>
              </w:rPr>
              <w:t>Ability to encourage children to develop self-esteem and respect for others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rPr>
                <w:rFonts w:ascii="Verdana" w:hAnsi="Verdana" w:cs="Verdana"/>
              </w:rPr>
            </w:pPr>
            <w:r>
              <w:rPr>
                <w:rFonts w:cs="Verdana" w:ascii="Verdana" w:hAnsi="Verdana"/>
              </w:rPr>
              <w:t>A skilled communicator with the ability to communicate to a wide audience which includes all stakeholders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rPr>
                <w:rFonts w:ascii="Verdana" w:hAnsi="Verdana" w:cs="Verdana"/>
              </w:rPr>
            </w:pPr>
            <w:r>
              <w:rPr>
                <w:rFonts w:cs="Verdana" w:ascii="Verdana" w:hAnsi="Verdana"/>
              </w:rPr>
              <w:t>Excellent organisational skills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40" w:leader="none"/>
              </w:tabs>
              <w:spacing w:lineRule="auto" w:line="211" w:before="120" w:after="120"/>
              <w:rPr>
                <w:rFonts w:ascii="Verdana" w:hAnsi="Verdana" w:cs="Verdana"/>
              </w:rPr>
            </w:pPr>
            <w:r>
              <w:rPr>
                <w:rFonts w:cs="Verdana" w:ascii="Verdana" w:hAnsi="Verdana"/>
              </w:rPr>
              <w:t xml:space="preserve">A calm and flexible proactive approach to problem solving </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10819" w:type="dxa"/>
            <w:gridSpan w:val="8"/>
            <w:tcBorders>
              <w:top w:val="single" w:sz="4" w:space="0" w:color="000000"/>
              <w:left w:val="single" w:sz="4" w:space="0" w:color="000000"/>
              <w:bottom w:val="single" w:sz="4" w:space="0" w:color="000000"/>
              <w:right w:val="single" w:sz="4" w:space="0" w:color="000000"/>
            </w:tcBorders>
          </w:tcPr>
          <w:p>
            <w:pPr>
              <w:pStyle w:val="Normal"/>
              <w:spacing w:before="120" w:after="120"/>
              <w:rPr>
                <w:rFonts w:ascii="Verdana" w:hAnsi="Verdana" w:cs="Verdana"/>
                <w:b/>
              </w:rPr>
            </w:pPr>
            <w:r>
              <w:rPr>
                <w:rFonts w:cs="Verdana" w:ascii="Verdana" w:hAnsi="Verdana"/>
                <w:b/>
              </w:rPr>
              <w:t>Education and Qualifications</w:t>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Qualified Teacher Status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Degree</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Evidence of continuing professional development</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10819" w:type="dxa"/>
            <w:gridSpan w:val="8"/>
            <w:tcBorders>
              <w:top w:val="single" w:sz="4" w:space="0" w:color="000000"/>
              <w:left w:val="single" w:sz="4" w:space="0" w:color="000000"/>
              <w:bottom w:val="single" w:sz="4" w:space="0" w:color="000000"/>
              <w:right w:val="single" w:sz="4" w:space="0" w:color="000000"/>
            </w:tcBorders>
          </w:tcPr>
          <w:p>
            <w:pPr>
              <w:pStyle w:val="Normal"/>
              <w:spacing w:before="120" w:after="120"/>
              <w:rPr>
                <w:rFonts w:ascii="Verdana" w:hAnsi="Verdana" w:cs="Verdana"/>
                <w:b/>
              </w:rPr>
            </w:pPr>
            <w:r>
              <w:rPr>
                <w:rFonts w:cs="Verdana" w:ascii="Verdana" w:hAnsi="Verdana"/>
                <w:b/>
              </w:rPr>
              <w:t>Work related Attributes</w:t>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A commitment to involvement in the outside activities of the school including those of pupils, staff, governors and the wider community</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Be a collaborative team player who is warm and patient and approachable to all stakeholders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Demonstrable personal and professional integrity, including modelling the schools’ values and vision</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Positive motivation and energy for sustained hard work</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27" w:hRule="atLeast"/>
        </w:trPr>
        <w:tc>
          <w:tcPr>
            <w:tcW w:w="6266"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rPr>
            </w:pPr>
            <w:r>
              <w:rPr>
                <w:rFonts w:cs="Verdana" w:ascii="Verdana" w:hAnsi="Verdana"/>
              </w:rPr>
              <w:t>A commitment to provide and support extracurricular activities and an understanding of their impact upon the school ethos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457" w:hRule="atLeast"/>
        </w:trPr>
        <w:tc>
          <w:tcPr>
            <w:tcW w:w="6266"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exact" w:line="163" w:before="60" w:after="0"/>
              <w:rPr>
                <w:rFonts w:ascii="Verdana" w:hAnsi="Verdana" w:cs="Verdana"/>
              </w:rPr>
            </w:pPr>
            <w:r>
              <w:rPr>
                <w:rFonts w:cs="Verdana" w:ascii="Verdana" w:hAnsi="Verdana"/>
              </w:rPr>
              <w:t>Understands and actively supports Stockport Council’s diversity and equality policy.</w:t>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shd w:fill="D9D9D9" w:val="clear"/>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70" w:hRule="atLeast"/>
        </w:trPr>
        <w:tc>
          <w:tcPr>
            <w:tcW w:w="6266"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184" w:before="60" w:after="60"/>
              <w:rPr>
                <w:rFonts w:ascii="Verdana" w:hAnsi="Verdana" w:cs="Verdana"/>
              </w:rPr>
            </w:pPr>
            <w:r>
              <w:rPr>
                <w:rFonts w:cs="Verdana" w:ascii="Verdana" w:hAnsi="Verdana"/>
              </w:rPr>
              <w:t>To meet Stockport Council’s standard of attendance</w:t>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shd w:fill="D9D9D9" w:val="clear"/>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r>
        <w:trPr>
          <w:trHeight w:val="388" w:hRule="atLeast"/>
        </w:trPr>
        <w:tc>
          <w:tcPr>
            <w:tcW w:w="6266"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184" w:before="60" w:after="60"/>
              <w:rPr>
                <w:rFonts w:ascii="Verdana" w:hAnsi="Verdana" w:cs="Verdana"/>
              </w:rPr>
            </w:pPr>
            <w:r>
              <w:rPr>
                <w:rFonts w:cs="Verdana" w:ascii="Verdana" w:hAnsi="Verdana"/>
              </w:rPr>
              <w:t xml:space="preserve">A willingness to be flexible in a changing environment </w:t>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1704" w:type="dxa"/>
            <w:tcBorders>
              <w:top w:val="single" w:sz="4" w:space="0" w:color="000000"/>
              <w:left w:val="single" w:sz="4" w:space="0" w:color="000000"/>
              <w:bottom w:val="single" w:sz="4" w:space="0" w:color="000000"/>
              <w:right w:val="single" w:sz="4" w:space="0" w:color="000000"/>
            </w:tcBorders>
            <w:shd w:fill="D9D9D9" w:val="clear"/>
          </w:tcPr>
          <w:p>
            <w:pPr>
              <w:pStyle w:val="Normal"/>
              <w:rPr>
                <w:rFonts w:ascii="Verdana" w:hAnsi="Verdana" w:cs="Verdana"/>
                <w:b/>
              </w:rPr>
            </w:pPr>
            <w:r>
              <w:rPr>
                <w:rFonts w:cs="Verdana" w:ascii="Verdana" w:hAnsi="Verdana"/>
                <w:b/>
              </w:rPr>
              <w:t>Essential</w:t>
            </w:r>
          </w:p>
        </w:tc>
        <w:tc>
          <w:tcPr>
            <w:tcW w:w="23" w:type="dxa"/>
            <w:tcBorders/>
          </w:tcPr>
          <w:p>
            <w:pPr>
              <w:pStyle w:val="Normal"/>
              <w:snapToGrid w:val="false"/>
              <w:rPr/>
            </w:pPr>
            <w:r>
              <w:rPr/>
            </w:r>
          </w:p>
        </w:tc>
      </w:tr>
    </w:tbl>
    <w:p>
      <w:pPr>
        <w:pStyle w:val="Normal"/>
        <w:rPr>
          <w:rFonts w:ascii="Verdana" w:hAnsi="Verdana" w:cs="Verdana"/>
          <w:sz w:val="16"/>
          <w:szCs w:val="16"/>
        </w:rPr>
      </w:pPr>
      <w:r>
        <w:rPr>
          <w:rFonts w:cs="Verdana" w:ascii="Verdana" w:hAnsi="Verdana"/>
          <w:sz w:val="16"/>
          <w:szCs w:val="16"/>
        </w:rPr>
      </w:r>
    </w:p>
    <w:p>
      <w:pPr>
        <w:pStyle w:val="Normal"/>
        <w:rPr>
          <w:rFonts w:ascii="Verdana" w:hAnsi="Verdana" w:cs="Verdana"/>
          <w:b/>
        </w:rPr>
      </w:pPr>
      <w:r>
        <w:rPr>
          <w:rFonts w:cs="Verdana" w:ascii="Verdana" w:hAnsi="Verdana"/>
          <w:b/>
        </w:rPr>
        <w:t>Scoring key</w:t>
      </w:r>
    </w:p>
    <w:p>
      <w:pPr>
        <w:pStyle w:val="Normal"/>
        <w:spacing w:before="0" w:after="0"/>
        <w:contextualSpacing/>
        <w:rPr>
          <w:rFonts w:ascii="Verdana" w:hAnsi="Verdana" w:cs="Verdana"/>
        </w:rPr>
      </w:pPr>
      <w:r>
        <w:rPr>
          <w:rFonts w:cs="Verdana" w:ascii="Verdana" w:hAnsi="Verdana"/>
        </w:rPr>
        <w:t xml:space="preserve">0 – Not met essential criteria </w:t>
      </w:r>
    </w:p>
    <w:p>
      <w:pPr>
        <w:pStyle w:val="Normal"/>
        <w:spacing w:before="0" w:after="0"/>
        <w:contextualSpacing/>
        <w:rPr>
          <w:rFonts w:ascii="Verdana" w:hAnsi="Verdana" w:cs="Verdana"/>
        </w:rPr>
      </w:pPr>
      <w:r>
        <w:rPr>
          <w:rFonts w:cs="Verdana" w:ascii="Verdana" w:hAnsi="Verdana"/>
        </w:rPr>
        <w:t>1 – Partially meets essential criteria</w:t>
      </w:r>
    </w:p>
    <w:p>
      <w:pPr>
        <w:pStyle w:val="Normal"/>
        <w:spacing w:before="0" w:after="0"/>
        <w:contextualSpacing/>
        <w:rPr>
          <w:rFonts w:ascii="Verdana" w:hAnsi="Verdana" w:cs="Verdana"/>
        </w:rPr>
      </w:pPr>
      <w:r>
        <w:rPr>
          <w:rFonts w:cs="Verdana" w:ascii="Verdana" w:hAnsi="Verdana"/>
        </w:rPr>
        <w:t>2 – Meets criteria</w:t>
      </w:r>
    </w:p>
    <w:p>
      <w:pPr>
        <w:pStyle w:val="Normal"/>
        <w:spacing w:before="0" w:after="0"/>
        <w:contextualSpacing/>
        <w:rPr>
          <w:rFonts w:ascii="Verdana" w:hAnsi="Verdana" w:cs="Verdana"/>
        </w:rPr>
      </w:pPr>
      <w:r>
        <w:rPr>
          <w:rFonts w:cs="Verdana" w:ascii="Verdana" w:hAnsi="Verdana"/>
        </w:rPr>
        <w:t>3 – Exceeds criteria</w:t>
      </w:r>
    </w:p>
    <w:p>
      <w:pPr>
        <w:pStyle w:val="Normal"/>
        <w:spacing w:before="0" w:after="0"/>
        <w:contextualSpacing/>
        <w:rPr>
          <w:rFonts w:ascii="Verdana" w:hAnsi="Verdana" w:cs="Verdana"/>
        </w:rPr>
      </w:pPr>
      <w:r>
        <w:rPr>
          <w:rFonts w:cs="Verdana" w:ascii="Verdana" w:hAnsi="Verdana"/>
        </w:rPr>
        <w:t>4 - Exceptional</w:t>
      </w:r>
    </w:p>
    <w:sectPr>
      <w:footerReference w:type="default" r:id="rId3"/>
      <w:type w:val="nextPage"/>
      <w:pgSz w:w="11906" w:h="16838"/>
      <w:pgMar w:left="425" w:right="1274" w:gutter="0" w:header="0" w:top="567" w:footer="313" w:bottom="37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Courier New">
    <w:charset w:val="00"/>
    <w:family w:val="roman"/>
    <w:pitch w:val="variable"/>
  </w:font>
  <w:font w:name="Tahoma">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0" allowOverlap="1" relativeHeight="5">
              <wp:simplePos x="0" y="0"/>
              <wp:positionH relativeFrom="margin">
                <wp:align>center</wp:align>
              </wp:positionH>
              <wp:positionV relativeFrom="paragraph">
                <wp:posOffset>635</wp:posOffset>
              </wp:positionV>
              <wp:extent cx="63500" cy="146050"/>
              <wp:effectExtent l="0" t="0" r="0" b="0"/>
              <wp:wrapSquare wrapText="largest"/>
              <wp:docPr id="2" name="Frame1"/>
              <a:graphic xmlns:a="http://schemas.openxmlformats.org/drawingml/2006/main">
                <a:graphicData uri="http://schemas.microsoft.com/office/word/2010/wordprocessingShape">
                  <wps:wsp>
                    <wps:cNvSpPr txBox="1"/>
                    <wps:spPr>
                      <a:xfrm>
                        <a:off x="0" y="0"/>
                        <a:ext cx="63500" cy="146050"/>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5pt;height:11.5pt;mso-wrap-distance-left:0pt;mso-wrap-distance-right:0pt;mso-wrap-distance-top:0pt;mso-wrap-distance-bottom:0pt;margin-top:0.05pt;mso-position-vertical-relative:text;margin-left:252.65pt;mso-position-horizontal:center;mso-position-horizontal-relative:margin">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GB" w:eastAsia="en-US" w:bidi="ar-SA"/>
    </w:rPr>
  </w:style>
  <w:style w:type="paragraph" w:styleId="Heading2">
    <w:name w:val="Heading 2"/>
    <w:basedOn w:val="Normal"/>
    <w:next w:val="Normal"/>
    <w:qFormat/>
    <w:pPr>
      <w:keepNext w:val="true"/>
      <w:numPr>
        <w:ilvl w:val="1"/>
        <w:numId w:val="1"/>
      </w:numPr>
      <w:jc w:val="both"/>
      <w:outlineLvl w:val="1"/>
    </w:pPr>
    <w:rPr>
      <w:rFonts w:ascii="Times;Times New Roman" w:hAnsi="Times;Times New Roman" w:cs="Times;Times New Roman"/>
      <w:sz w:val="24"/>
      <w:u w:val="single"/>
    </w:rPr>
  </w:style>
  <w:style w:type="character" w:styleId="DefaultParagraphFont">
    <w:name w:val="Default Paragraph Font"/>
    <w:qFormat/>
    <w:rPr/>
  </w:style>
  <w:style w:type="character" w:styleId="pagenumber">
    <w:name w:val="page number"/>
    <w:basedOn w:val="DefaultParagraph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jc w:val="center"/>
    </w:pPr>
    <w:rPr>
      <w:rFonts w:ascii="Arial" w:hAnsi="Arial" w:cs="Arial"/>
      <w:b/>
      <w:sz w:val="32"/>
      <w:u w:val="single"/>
    </w:rPr>
  </w:style>
  <w:style w:type="paragraph" w:styleId="Level1">
    <w:name w:val="Level 1"/>
    <w:qFormat/>
    <w:pPr>
      <w:widowControl w:val="false"/>
      <w:suppressAutoHyphens w:val="true"/>
      <w:bidi w:val="0"/>
      <w:spacing w:before="0" w:after="0"/>
      <w:jc w:val="left"/>
    </w:pPr>
    <w:rPr>
      <w:rFonts w:ascii="Times New Roman" w:hAnsi="Times New Roman" w:eastAsia="Times New Roman" w:cs="Times New Roman"/>
      <w:color w:val="auto"/>
      <w:kern w:val="0"/>
      <w:sz w:val="24"/>
      <w:szCs w:val="20"/>
      <w:lang w:val="en-US" w:eastAsia="en-US" w:bidi="ar-SA"/>
    </w:rPr>
  </w:style>
  <w:style w:type="paragraph" w:styleId="PlainText">
    <w:name w:val="Plain Text"/>
    <w:basedOn w:val="Normal"/>
    <w:qFormat/>
    <w:pPr/>
    <w:rPr>
      <w:rFonts w:ascii="Courier New" w:hAnsi="Courier New" w:cs="Courier New"/>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153" w:leader="none"/>
        <w:tab w:val="right" w:pos="8306" w:leader="none"/>
      </w:tabs>
    </w:pPr>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