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100" w:after="100"/>
        <w:jc w:val="center"/>
        <w:rPr>
          <w:rFonts w:ascii="Calibri" w:hAnsi="Calibri" w:eastAsia="ＭＳ ゴシック" w:cs="Calibri"/>
          <w:b/>
          <w:b/>
          <w:bCs/>
          <w:color w:val="000000"/>
          <w:sz w:val="38"/>
          <w:szCs w:val="38"/>
        </w:rPr>
      </w:pPr>
      <w:r>
        <w:rPr>
          <w:rFonts w:eastAsia="ＭＳ ゴシック" w:cs="Calibri" w:ascii="Calibri" w:hAnsi="Calibri"/>
          <w:b/>
          <w:bCs/>
          <w:color w:val="000000"/>
          <w:sz w:val="38"/>
          <w:szCs w:val="38"/>
        </w:rPr>
        <w:t>LUDWORTH</w:t>
      </w:r>
    </w:p>
    <w:p>
      <w:pPr>
        <w:pStyle w:val="Normal"/>
        <w:spacing w:before="0" w:after="760"/>
        <w:jc w:val="center"/>
        <w:rPr>
          <w:rFonts w:ascii="Calibri" w:hAnsi="Calibri" w:eastAsia="ＭＳ ゴシック" w:cs="Calibri"/>
          <w:b/>
          <w:b/>
          <w:bCs/>
          <w:color w:val="000000"/>
          <w:sz w:val="26"/>
          <w:szCs w:val="26"/>
        </w:rPr>
      </w:pPr>
      <w:r>
        <w:rPr>
          <w:rFonts w:eastAsia="ＭＳ ゴシック" w:cs="Calibri" w:ascii="Calibri" w:hAnsi="Calibri"/>
          <w:b/>
          <w:bCs/>
          <w:color w:val="000000"/>
          <w:sz w:val="26"/>
          <w:szCs w:val="26"/>
        </w:rPr>
        <w:t>PRIMARY SCHOOL</w:t>
      </w:r>
    </w:p>
    <w:p>
      <w:pPr>
        <w:pStyle w:val="Normal"/>
        <w:spacing w:before="0" w:after="760"/>
        <w:jc w:val="center"/>
        <w:rPr>
          <w:rFonts w:ascii="Calibri" w:hAnsi="Calibri" w:eastAsia="ＭＳ ゴシック" w:cs="Calibri"/>
          <w:b/>
          <w:b/>
          <w:bCs/>
          <w:color w:val="000000"/>
          <w:sz w:val="54"/>
          <w:szCs w:val="54"/>
        </w:rPr>
      </w:pPr>
      <w:r>
        <w:rPr/>
        <w:drawing>
          <wp:inline distT="0" distB="0" distL="0" distR="0">
            <wp:extent cx="3348990" cy="334899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4" r="-4" b="-4"/>
                    <a:stretch>
                      <a:fillRect/>
                    </a:stretch>
                  </pic:blipFill>
                  <pic:spPr bwMode="auto">
                    <a:xfrm>
                      <a:off x="0" y="0"/>
                      <a:ext cx="3348990" cy="3348990"/>
                    </a:xfrm>
                    <a:prstGeom prst="rect">
                      <a:avLst/>
                    </a:prstGeom>
                  </pic:spPr>
                </pic:pic>
              </a:graphicData>
            </a:graphic>
          </wp:inline>
        </w:drawing>
      </w:r>
    </w:p>
    <w:p>
      <w:pPr>
        <w:pStyle w:val="Normal"/>
        <w:spacing w:before="600" w:after="100"/>
        <w:jc w:val="center"/>
        <w:rPr>
          <w:rFonts w:ascii="Calibri" w:hAnsi="Calibri" w:eastAsia="ＭＳ ゴシック" w:cs="Calibri"/>
          <w:b/>
          <w:b/>
          <w:bCs/>
          <w:color w:val="000000"/>
          <w:sz w:val="54"/>
          <w:szCs w:val="54"/>
        </w:rPr>
      </w:pPr>
      <w:r>
        <w:rPr>
          <w:rFonts w:eastAsia="ＭＳ ゴシック" w:cs="Calibri" w:ascii="Calibri" w:hAnsi="Calibri"/>
          <w:b/>
          <w:bCs/>
          <w:color w:val="000000"/>
          <w:sz w:val="54"/>
          <w:szCs w:val="54"/>
        </w:rPr>
        <w:t>ASSISTANT HEADTEACHER</w:t>
      </w:r>
    </w:p>
    <w:p>
      <w:pPr>
        <w:pStyle w:val="Normal"/>
        <w:jc w:val="center"/>
        <w:rPr>
          <w:rFonts w:ascii="Calibri" w:hAnsi="Calibri" w:eastAsia="ＭＳ ゴシック" w:cs="Calibri"/>
          <w:b/>
          <w:b/>
          <w:bCs/>
          <w:color w:val="000000"/>
          <w:sz w:val="34"/>
          <w:szCs w:val="34"/>
        </w:rPr>
      </w:pPr>
      <w:r>
        <w:rPr>
          <w:rFonts w:eastAsia="ＭＳ ゴシック" w:cs="Calibri" w:ascii="Calibri" w:hAnsi="Calibri"/>
          <w:b/>
          <w:bCs/>
          <w:color w:val="000000"/>
          <w:sz w:val="34"/>
          <w:szCs w:val="34"/>
        </w:rPr>
        <w:t>Curriculum, Teaching &amp; Learning</w:t>
      </w:r>
    </w:p>
    <w:p>
      <w:pPr>
        <w:pStyle w:val="Normal"/>
        <w:spacing w:before="400" w:after="100"/>
        <w:jc w:val="center"/>
        <w:rPr>
          <w:rFonts w:ascii="Calibri" w:hAnsi="Calibri" w:eastAsia="ＭＳ ゴシック" w:cs="Calibri"/>
          <w:b/>
          <w:b/>
          <w:bCs/>
          <w:color w:val="000000"/>
          <w:sz w:val="22"/>
        </w:rPr>
      </w:pPr>
      <w:r>
        <w:rPr>
          <w:rFonts w:eastAsia="ＭＳ ゴシック" w:cs="Calibri" w:ascii="Calibri" w:hAnsi="Calibri"/>
          <w:b/>
          <w:bCs/>
          <w:color w:val="000000"/>
          <w:sz w:val="22"/>
        </w:rPr>
        <w:t>JOB DESCRIPTION</w:t>
      </w:r>
    </w:p>
    <w:p>
      <w:pPr>
        <w:pStyle w:val="Normal"/>
        <w:spacing w:before="400" w:after="100"/>
        <w:jc w:val="center"/>
        <w:rPr>
          <w:rFonts w:ascii="Calibri" w:hAnsi="Calibri" w:eastAsia="ＭＳ ゴシック" w:cs="Calibri"/>
          <w:b/>
          <w:b/>
          <w:bCs/>
          <w:sz w:val="22"/>
        </w:rPr>
      </w:pPr>
      <w:r>
        <w:rPr>
          <w:rFonts w:eastAsia="ＭＳ ゴシック" w:cs="Calibri" w:ascii="Calibri" w:hAnsi="Calibri"/>
          <w:b/>
          <w:bCs/>
          <w:sz w:val="22"/>
        </w:rPr>
      </w:r>
    </w:p>
    <w:p>
      <w:pPr>
        <w:pStyle w:val="Normal"/>
        <w:spacing w:before="400" w:after="100"/>
        <w:jc w:val="center"/>
        <w:rPr>
          <w:rFonts w:ascii="Calibri" w:hAnsi="Calibri" w:eastAsia="ＭＳ ゴシック" w:cs="Calibri"/>
          <w:b/>
          <w:b/>
          <w:bCs/>
          <w:sz w:val="22"/>
        </w:rPr>
      </w:pPr>
      <w:r>
        <w:rPr>
          <w:rFonts w:eastAsia="ＭＳ ゴシック" w:cs="Calibri" w:ascii="Calibri" w:hAnsi="Calibri"/>
          <w:b/>
          <w:bCs/>
          <w:sz w:val="22"/>
        </w:rPr>
      </w:r>
    </w:p>
    <w:p>
      <w:pPr>
        <w:pStyle w:val="Normal"/>
        <w:spacing w:before="400" w:after="100"/>
        <w:jc w:val="center"/>
        <w:rPr>
          <w:rFonts w:ascii="Calibri" w:hAnsi="Calibri" w:eastAsia="ＭＳ ゴシック" w:cs="Calibri"/>
          <w:b/>
          <w:b/>
          <w:bCs/>
          <w:sz w:val="22"/>
        </w:rPr>
      </w:pPr>
      <w:r>
        <w:rPr>
          <w:rFonts w:eastAsia="ＭＳ ゴシック" w:cs="Calibri" w:ascii="Calibri" w:hAnsi="Calibri"/>
          <w:b/>
          <w:bCs/>
          <w:sz w:val="22"/>
        </w:rPr>
      </w:r>
    </w:p>
    <w:p>
      <w:pPr>
        <w:pStyle w:val="Normal"/>
        <w:rPr>
          <w:rFonts w:ascii="Calibri" w:hAnsi="Calibri" w:eastAsia="ＭＳ ゴシック" w:cs="Calibri"/>
          <w:b/>
          <w:b/>
          <w:bCs/>
          <w:sz w:val="22"/>
        </w:rPr>
      </w:pPr>
      <w:r>
        <w:rPr>
          <w:rFonts w:eastAsia="ＭＳ ゴシック" w:cs="Calibri" w:ascii="Calibri" w:hAnsi="Calibri"/>
          <w:b/>
          <w:bCs/>
          <w:sz w:val="22"/>
        </w:rPr>
      </w:r>
      <w:r>
        <w:br w:type="page"/>
      </w:r>
    </w:p>
    <w:p>
      <w:pPr>
        <w:pStyle w:val="Heading1"/>
        <w:rPr>
          <w:color w:val="000000"/>
        </w:rPr>
      </w:pPr>
      <w:r>
        <w:rPr>
          <w:color w:val="000000"/>
        </w:rPr>
        <w:t xml:space="preserve">1. Role </w:t>
      </w:r>
    </w:p>
    <w:tbl>
      <w:tblPr>
        <w:tblW w:w="9225" w:type="dxa"/>
        <w:jc w:val="left"/>
        <w:tblInd w:w="0" w:type="dxa"/>
        <w:tblCellMar>
          <w:top w:w="90" w:type="dxa"/>
          <w:left w:w="110" w:type="dxa"/>
          <w:bottom w:w="90" w:type="dxa"/>
          <w:right w:w="110" w:type="dxa"/>
        </w:tblCellMar>
      </w:tblPr>
      <w:tblGrid>
        <w:gridCol w:w="2664"/>
        <w:gridCol w:w="6561"/>
      </w:tblGrid>
      <w:tr>
        <w:trPr/>
        <w:tc>
          <w:tcPr>
            <w:tcW w:w="2664" w:type="dxa"/>
            <w:tcBorders>
              <w:top w:val="single" w:sz="4" w:space="0" w:color="D8DEE5"/>
              <w:left w:val="single" w:sz="4" w:space="0" w:color="D8DEE5"/>
              <w:bottom w:val="single" w:sz="4" w:space="0" w:color="D8DEE5"/>
            </w:tcBorders>
            <w:shd w:fill="4F6228" w:val="clear"/>
            <w:vAlign w:val="center"/>
          </w:tcPr>
          <w:p>
            <w:pPr>
              <w:pStyle w:val="Normal"/>
              <w:widowControl/>
              <w:bidi w:val="0"/>
              <w:spacing w:lineRule="auto" w:line="256" w:before="0" w:after="100"/>
              <w:jc w:val="left"/>
              <w:rPr>
                <w:rFonts w:ascii="Calibri" w:hAnsi="Calibri" w:eastAsia="ＭＳ ゴシック" w:cs="Calibri"/>
                <w:b/>
                <w:b/>
                <w:bCs/>
                <w:color w:val="000000"/>
              </w:rPr>
            </w:pPr>
            <w:r>
              <w:rPr>
                <w:rFonts w:eastAsia="ＭＳ ゴシック" w:cs="Calibri" w:ascii="Calibri" w:hAnsi="Calibri"/>
                <w:b/>
                <w:bCs/>
                <w:color w:val="000000"/>
              </w:rPr>
              <w:t>Job title</w:t>
            </w:r>
          </w:p>
        </w:tc>
        <w:tc>
          <w:tcPr>
            <w:tcW w:w="6561" w:type="dxa"/>
            <w:tcBorders>
              <w:top w:val="single" w:sz="4" w:space="0" w:color="D8DEE5"/>
              <w:left w:val="single" w:sz="4" w:space="0" w:color="D8DEE5"/>
              <w:bottom w:val="single" w:sz="4" w:space="0" w:color="D8DEE5"/>
              <w:right w:val="single" w:sz="4" w:space="0" w:color="D8DEE5"/>
            </w:tcBorders>
            <w:shd w:fill="DDD9C3" w:val="clear"/>
            <w:vAlign w:val="center"/>
          </w:tcPr>
          <w:p>
            <w:pPr>
              <w:pStyle w:val="Normal"/>
              <w:widowControl/>
              <w:bidi w:val="0"/>
              <w:spacing w:lineRule="auto" w:line="256" w:before="0" w:after="100"/>
              <w:jc w:val="left"/>
              <w:rPr>
                <w:rFonts w:ascii="Calibri" w:hAnsi="Calibri" w:eastAsia="ＭＳ ゴシック" w:cs="Calibri"/>
                <w:color w:val="000000"/>
              </w:rPr>
            </w:pPr>
            <w:r>
              <w:rPr>
                <w:rFonts w:eastAsia="ＭＳ ゴシック" w:cs="Calibri" w:ascii="Calibri" w:hAnsi="Calibri"/>
                <w:color w:val="000000"/>
              </w:rPr>
              <w:t>Assistant Headteacher</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Responsibility</w:t>
            </w:r>
          </w:p>
        </w:tc>
        <w:tc>
          <w:tcPr>
            <w:tcW w:w="6561" w:type="dxa"/>
            <w:tcBorders>
              <w:top w:val="single" w:sz="4" w:space="0" w:color="D8DEE5"/>
              <w:left w:val="single" w:sz="4" w:space="0" w:color="D8DEE5"/>
              <w:bottom w:val="single" w:sz="4" w:space="0" w:color="D8DEE5"/>
              <w:right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Curriculum, Teaching &amp; Learning</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Responsible to</w:t>
            </w:r>
          </w:p>
        </w:tc>
        <w:tc>
          <w:tcPr>
            <w:tcW w:w="6561" w:type="dxa"/>
            <w:tcBorders>
              <w:top w:val="single" w:sz="4" w:space="0" w:color="D8DEE5"/>
              <w:left w:val="single" w:sz="4" w:space="0" w:color="D8DEE5"/>
              <w:bottom w:val="single" w:sz="4" w:space="0" w:color="D8DEE5"/>
              <w:right w:val="single" w:sz="4" w:space="0" w:color="D8DEE5"/>
            </w:tcBorders>
            <w:shd w:fill="FFFFFF"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Headteacher, Deputy Headteacher</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Accountable to</w:t>
            </w:r>
          </w:p>
        </w:tc>
        <w:tc>
          <w:tcPr>
            <w:tcW w:w="6561" w:type="dxa"/>
            <w:tcBorders>
              <w:top w:val="single" w:sz="4" w:space="0" w:color="D8DEE5"/>
              <w:left w:val="single" w:sz="4" w:space="0" w:color="D8DEE5"/>
              <w:bottom w:val="single" w:sz="4" w:space="0" w:color="D8DEE5"/>
              <w:right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Headteacher and Governing Board</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Key relationships</w:t>
            </w:r>
          </w:p>
        </w:tc>
        <w:tc>
          <w:tcPr>
            <w:tcW w:w="6561" w:type="dxa"/>
            <w:tcBorders>
              <w:top w:val="single" w:sz="4" w:space="0" w:color="D8DEE5"/>
              <w:left w:val="single" w:sz="4" w:space="0" w:color="D8DEE5"/>
              <w:bottom w:val="single" w:sz="4" w:space="0" w:color="D8DEE5"/>
              <w:right w:val="single" w:sz="4" w:space="0" w:color="D8DEE5"/>
            </w:tcBorders>
            <w:shd w:fill="FFFFFF"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Senior Leadership Team; teachers; teaching assistants; subject leaders; pupils; parents and carers; governors; local authority and external partners</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Salary range</w:t>
            </w:r>
          </w:p>
        </w:tc>
        <w:tc>
          <w:tcPr>
            <w:tcW w:w="6561" w:type="dxa"/>
            <w:tcBorders>
              <w:top w:val="single" w:sz="4" w:space="0" w:color="D8DEE5"/>
              <w:left w:val="single" w:sz="4" w:space="0" w:color="D8DEE5"/>
              <w:bottom w:val="single" w:sz="4" w:space="0" w:color="D8DEE5"/>
              <w:right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L4-L8</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Contract Type</w:t>
            </w:r>
          </w:p>
        </w:tc>
        <w:tc>
          <w:tcPr>
            <w:tcW w:w="6561" w:type="dxa"/>
            <w:tcBorders>
              <w:top w:val="single" w:sz="4" w:space="0" w:color="D8DEE5"/>
              <w:left w:val="single" w:sz="4" w:space="0" w:color="D8DEE5"/>
              <w:bottom w:val="single" w:sz="4" w:space="0" w:color="D8DEE5"/>
              <w:right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Permanent</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Working Pattern</w:t>
            </w:r>
          </w:p>
        </w:tc>
        <w:tc>
          <w:tcPr>
            <w:tcW w:w="6561" w:type="dxa"/>
            <w:tcBorders>
              <w:top w:val="single" w:sz="4" w:space="0" w:color="D8DEE5"/>
              <w:left w:val="single" w:sz="4" w:space="0" w:color="D8DEE5"/>
              <w:bottom w:val="single" w:sz="4" w:space="0" w:color="D8DEE5"/>
              <w:right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Full Time</w:t>
            </w:r>
          </w:p>
        </w:tc>
      </w:tr>
      <w:tr>
        <w:trPr/>
        <w:tc>
          <w:tcPr>
            <w:tcW w:w="2664" w:type="dxa"/>
            <w:tcBorders>
              <w:top w:val="single" w:sz="4" w:space="0" w:color="D8DEE5"/>
              <w:left w:val="single" w:sz="4" w:space="0" w:color="D8DEE5"/>
              <w:bottom w:val="single" w:sz="4" w:space="0" w:color="D8DEE5"/>
            </w:tcBorders>
            <w:shd w:fill="EAF1DD" w:val="clear"/>
            <w:vAlign w:val="center"/>
          </w:tcPr>
          <w:p>
            <w:pPr>
              <w:pStyle w:val="Normal"/>
              <w:widowControl/>
              <w:bidi w:val="0"/>
              <w:spacing w:lineRule="auto" w:line="256" w:before="0" w:after="100"/>
              <w:jc w:val="left"/>
              <w:rPr>
                <w:rFonts w:ascii="Calibri" w:hAnsi="Calibri" w:eastAsia="ＭＳ ゴシック" w:cs="Calibri"/>
                <w:b/>
                <w:b/>
                <w:bCs/>
                <w:color w:val="17365D"/>
              </w:rPr>
            </w:pPr>
            <w:r>
              <w:rPr>
                <w:rFonts w:eastAsia="ＭＳ ゴシック" w:cs="Calibri" w:ascii="Calibri" w:hAnsi="Calibri"/>
                <w:b/>
                <w:bCs/>
                <w:color w:val="17365D"/>
              </w:rPr>
              <w:t>Teaching commitment</w:t>
            </w:r>
          </w:p>
        </w:tc>
        <w:tc>
          <w:tcPr>
            <w:tcW w:w="6561" w:type="dxa"/>
            <w:tcBorders>
              <w:top w:val="single" w:sz="4" w:space="0" w:color="D8DEE5"/>
              <w:left w:val="single" w:sz="4" w:space="0" w:color="D8DEE5"/>
              <w:bottom w:val="single" w:sz="4" w:space="0" w:color="D8DEE5"/>
              <w:right w:val="single" w:sz="4" w:space="0" w:color="D8DEE5"/>
            </w:tcBorders>
            <w:shd w:fill="FFFFFF" w:val="clear"/>
            <w:vAlign w:val="center"/>
          </w:tcPr>
          <w:p>
            <w:pPr>
              <w:pStyle w:val="Normal"/>
              <w:widowControl/>
              <w:bidi w:val="0"/>
              <w:spacing w:lineRule="auto" w:line="256" w:before="0" w:after="100"/>
              <w:jc w:val="left"/>
              <w:rPr>
                <w:rFonts w:ascii="Calibri" w:hAnsi="Calibri" w:eastAsia="ＭＳ ゴシック" w:cs="Calibri"/>
              </w:rPr>
            </w:pPr>
            <w:r>
              <w:rPr>
                <w:rFonts w:eastAsia="ＭＳ ゴシック" w:cs="Calibri" w:ascii="Calibri" w:hAnsi="Calibri"/>
              </w:rPr>
              <w:t>A teaching commitment will form part of the role, as determined by the Headteacher in response to school priorities.</w:t>
            </w:r>
          </w:p>
        </w:tc>
      </w:tr>
    </w:tbl>
    <w:p>
      <w:pPr>
        <w:pStyle w:val="Normal"/>
        <w:rPr>
          <w:rFonts w:ascii="Calibri" w:hAnsi="Calibri" w:eastAsia="ＭＳ ゴシック" w:cs="Calibri"/>
        </w:rPr>
      </w:pPr>
      <w:r>
        <w:rPr>
          <w:rFonts w:eastAsia="ＭＳ ゴシック" w:cs="Calibri" w:ascii="Calibri" w:hAnsi="Calibri"/>
        </w:rPr>
      </w:r>
    </w:p>
    <w:p>
      <w:pPr>
        <w:pStyle w:val="Heading1"/>
        <w:rPr>
          <w:color w:val="000000"/>
        </w:rPr>
      </w:pPr>
      <w:r>
        <w:rPr>
          <w:color w:val="000000"/>
        </w:rPr>
        <w:t>2. Job purpose</w:t>
      </w:r>
    </w:p>
    <w:p>
      <w:pPr>
        <w:pStyle w:val="Normal"/>
        <w:rPr>
          <w:rFonts w:ascii="Calibri" w:hAnsi="Calibri" w:eastAsia="ＭＳ ゴシック" w:cs="Calibri"/>
          <w:color w:val="000000"/>
        </w:rPr>
      </w:pPr>
      <w:r>
        <w:rPr>
          <w:rFonts w:eastAsia="ＭＳ ゴシック" w:cs="Calibri" w:ascii="Calibri" w:hAnsi="Calibri"/>
          <w:color w:val="000000"/>
        </w:rPr>
        <w:t>As a member of the Senior Leadership Team, the Assistant Headteacher will play a central role in the strategic leadership and day-to-day improvement of Ludworth Primary School.</w:t>
      </w:r>
    </w:p>
    <w:p>
      <w:pPr>
        <w:pStyle w:val="Normal"/>
        <w:rPr>
          <w:rFonts w:ascii="Calibri" w:hAnsi="Calibri" w:eastAsia="ＭＳ ゴシック" w:cs="Calibri"/>
          <w:color w:val="000000"/>
        </w:rPr>
      </w:pPr>
      <w:r>
        <w:rPr>
          <w:rFonts w:eastAsia="ＭＳ ゴシック" w:cs="Calibri" w:ascii="Calibri" w:hAnsi="Calibri"/>
          <w:color w:val="000000"/>
        </w:rPr>
        <w:t>The post holder will lead the continual development, implementation and evaluation of the school’s curriculum and teaching and learning strategy. They will ensure that the curriculum is ambitious, coherent, inclusive and well sequenced, and that classroom practice enables all pupils, including pupils with SEND, disadvantaged pupils and those who need additional challenge, to learn well and achieve highly.</w:t>
      </w:r>
    </w:p>
    <w:p>
      <w:pPr>
        <w:pStyle w:val="Normal"/>
        <w:rPr>
          <w:rFonts w:ascii="Calibri" w:hAnsi="Calibri" w:eastAsia="ＭＳ ゴシック" w:cs="Calibri"/>
          <w:color w:val="000000"/>
        </w:rPr>
      </w:pPr>
      <w:r>
        <w:rPr>
          <w:rFonts w:eastAsia="ＭＳ ゴシック" w:cs="Calibri" w:ascii="Calibri" w:hAnsi="Calibri"/>
          <w:color w:val="000000"/>
        </w:rPr>
        <w:t>The Assistant Headteacher will model excellent professional practice, build leadership capacity, support and challenge colleagues, and provide clear evidence to inform school self-evaluation, improvement planning and governance.</w:t>
      </w:r>
      <w:bookmarkStart w:id="0" w:name="_Hlk240885146"/>
      <w:bookmarkEnd w:id="0"/>
    </w:p>
    <w:p>
      <w:pPr>
        <w:pStyle w:val="Heading1"/>
        <w:rPr>
          <w:color w:val="000000"/>
        </w:rPr>
      </w:pPr>
      <w:r>
        <w:rPr>
          <w:color w:val="000000"/>
        </w:rPr>
        <w:t>3. Core leadership expectations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Promote the school’s vision, values and culture through consistently high expectations and professional conduct.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Act as a visible, approachable and effective senior leader for pupils, staff and families.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Contribute to whole-school strategic planning, self-evaluation, policy development and the implementation of agreed priorities.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Undertake the professional duties of an Assistant Headteacher in line with the School Teachers’ Pay and Conditions Document and the relevant professional standards, as applicable to the post.</w:t>
      </w:r>
    </w:p>
    <w:p>
      <w:pPr>
        <w:pStyle w:val="Heading1"/>
        <w:rPr>
          <w:color w:val="000000"/>
        </w:rPr>
      </w:pPr>
      <w:r>
        <w:rPr>
          <w:color w:val="000000"/>
        </w:rPr>
        <w:t>4. Key responsibilities</w:t>
      </w:r>
    </w:p>
    <w:p>
      <w:pPr>
        <w:pStyle w:val="Heading2"/>
        <w:rPr>
          <w:color w:val="76923C"/>
        </w:rPr>
      </w:pPr>
      <w:r>
        <w:rPr>
          <w:color w:val="76923C"/>
        </w:rPr>
        <w:t>4.1 Curriculum leadership and development</w:t>
      </w:r>
    </w:p>
    <w:p>
      <w:pPr>
        <w:pStyle w:val="ListBullet"/>
        <w:numPr>
          <w:ilvl w:val="0"/>
          <w:numId w:val="2"/>
        </w:numPr>
        <w:rPr/>
      </w:pPr>
      <w:r>
        <w:rPr>
          <w:rFonts w:eastAsia="ＭＳ ゴシック" w:cs="Calibri" w:ascii="Calibri" w:hAnsi="Calibri"/>
          <w:color w:val="000000"/>
        </w:rPr>
        <w:t xml:space="preserve">Lead the design, </w:t>
      </w:r>
      <w:bookmarkStart w:id="1" w:name="_Hlk240885352"/>
      <w:r>
        <w:rPr>
          <w:rFonts w:eastAsia="ＭＳ ゴシック" w:cs="Calibri" w:ascii="Calibri" w:hAnsi="Calibri"/>
          <w:color w:val="000000"/>
        </w:rPr>
        <w:t>implementation and ongoing review of a broad, balanced, ambitious and inclusive curriculum from Year 1 to Year 6.</w:t>
      </w:r>
      <w:bookmarkEnd w:id="1"/>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that curriculum intent is translated into well-sequenced schemes and classroom practice, with clear progression in knowledge, vocabulary and skills.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Work with subject leaders to define high expectations, strengthen subject leadership and secure consistency across the school.</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that curriculum planning anticipates and removes barriers to learning and is adapted appropriately for pupils with SEND, disadvantaged pupils and other vulnerable groups.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Keep abreast of national developments and evidence-informed practice, evaluating their relevance to Ludworth’s context before recommending change.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that reading, language development, oracy and the wider curriculum are given appropriate strategic prominence.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Promote meaningful enrichment and opportunities beyond the classroom that deepen pupils’ knowledge, personal development and cultural capital.</w:t>
      </w:r>
    </w:p>
    <w:p>
      <w:pPr>
        <w:pStyle w:val="Heading2"/>
        <w:rPr>
          <w:color w:val="76923C"/>
        </w:rPr>
      </w:pPr>
      <w:r>
        <w:rPr>
          <w:color w:val="76923C"/>
        </w:rPr>
        <w:t>4.2 Teaching, learning and assessment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Articulate, model and embed a shared understanding of high-quality teaching and adaptive practice.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Lead a proportionate programme of monitoring, including lesson visits, work scrutiny, planning review, pupil voice and discussion with staff, using findings to celebrate strengths and identify precise next steps.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Provide timely, developmental feedback and follow-up support so that agreed improvements are sustained.</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assessment is purposeful, accurate and manageable, and that it informs teaching, intervention and curriculum refinement.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Support teachers to use assessment information to identify misconceptions, check understanding and adapt teaching without lowering ambition.</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Promote consistency in classroom routines, learning behaviours and expectations while respecting professional judgement and subject-specific approaches.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Model excellent teaching and professional learning, including through demonstration, coaching, team teaching and the sharing of effective practice.</w:t>
      </w:r>
    </w:p>
    <w:p>
      <w:pPr>
        <w:pStyle w:val="Heading2"/>
        <w:rPr>
          <w:color w:val="76923C"/>
        </w:rPr>
      </w:pPr>
      <w:r>
        <w:rPr>
          <w:color w:val="76923C"/>
        </w:rPr>
        <w:t>4.3 Achievement and inclusion</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Analyse qualitative and quantitative information to evaluate pupils’ attainment and progress, identify patterns and determine priorities for action.</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Work with leaders and teachers to identify barriers early and secure timely, evidence-informed support.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Evaluate the impact of provision and intervention on pupils’ learning, participation and independence, adapting approaches where impact is limited.</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high expectations for every pupil and maintain a strong focus on equity, inclusion and strong outcomes.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Report clearly to the Headteacher, Senior Leadership Team and Governing Board on curriculum quality, teaching and learning, achievement and the impact of improvement work.</w:t>
      </w:r>
    </w:p>
    <w:p>
      <w:pPr>
        <w:pStyle w:val="Heading2"/>
        <w:rPr>
          <w:color w:val="76923C"/>
        </w:rPr>
      </w:pPr>
      <w:r>
        <w:rPr>
          <w:color w:val="76923C"/>
        </w:rPr>
        <w:t>4.4 Professional development and leadership capacity</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Identify professional development priorities through school improvement planning, monitoring, appraisal and dialogue with staff.</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Design and lead high-quality professional development that is purposeful, sustained, evaluated and connected to pupils’ needs.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Coach and mentor teachers and leaders, balancing support with appropriate challenge and accountability.</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Develop the expertise and confidence of subject and phase leaders so that they can evaluate provision and lead improvement effectively.</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Contribute to the induction and development of new staff, early career teachers and colleagues undertaking leadership responsibilities.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Lead appraisal for identified staff and connect objectives and professional development with school priorities.</w:t>
      </w:r>
    </w:p>
    <w:p>
      <w:pPr>
        <w:pStyle w:val="Heading2"/>
        <w:rPr>
          <w:color w:val="76923C"/>
        </w:rPr>
      </w:pPr>
      <w:r>
        <w:rPr>
          <w:color w:val="76923C"/>
        </w:rPr>
        <w:t>4.5 Strategic improvement and accountability</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Contribute robust evidence and evaluative judgements to the school’s self-evaluation and improvement planning.</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Translate strategic priorities into clear implementation plans with milestones, responsibilities, success criteria and arrangements for review.</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Monitor the impact and sustainability of improvement activity, responding promptly where implementation or outcomes are not strong enough.</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Prepare accurate, concise reports and presentations for leaders, governors and other appropriate stakeholders.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Use resources, staffing and time efficiently to maximise impact on curriculum quality, teaching and pupils’ outcomes.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Support governors to understand the impact of curriculum and teaching and learning strategy while respecting the distinction between governance and operational leadership.</w:t>
      </w:r>
    </w:p>
    <w:p>
      <w:pPr>
        <w:pStyle w:val="Heading2"/>
        <w:rPr>
          <w:color w:val="76923C"/>
        </w:rPr>
      </w:pPr>
      <w:r>
        <w:rPr>
          <w:color w:val="76923C"/>
        </w:rPr>
        <w:t>4.6 Partnership and communication</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Build trusting, professional relationships and communicate clearly with staff, pupils, parents and carers.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Seek and respond to the views of pupils, staff and families when evaluating curriculum and teaching and learning.</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Work collaboratively with external professionals, local networks and partner schools to share expertise and strengthen practice.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Represent Ludworth Primary School professionally at meetings, events and networks, as directed by the Headteacher.</w:t>
      </w:r>
    </w:p>
    <w:p>
      <w:pPr>
        <w:pStyle w:val="Normal"/>
        <w:keepNext w:val="true"/>
        <w:rPr/>
      </w:pPr>
      <w:r>
        <w:rPr/>
      </w:r>
    </w:p>
    <w:p>
      <w:pPr>
        <w:pStyle w:val="Heading1"/>
        <w:rPr>
          <w:color w:val="000000"/>
        </w:rPr>
      </w:pPr>
      <w:r>
        <w:rPr>
          <w:color w:val="000000"/>
        </w:rPr>
        <w:t>5. Safeguarding, wellbeing and statutory responsibilities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Promote and safeguard the welfare of children and act immediately on concerns in accordance with the school’s safeguarding and child protection procedures.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Maintain up-to-date knowledge of statutory safeguarding guidance and ensure that curriculum and teaching practice support a strong safeguarding culture.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Promote equality of opportunity, inclusion and respect, and challenge discrimination, harassment and prejudice.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Comply with school policies relating to health and safety, confidentiality, data protection, behaviour, attendance and safer working practice.</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Support a culture in which staff workload and wellbeing are considered when designing and implementing change, without compromising pupils’ entitlement to high-quality education.</w:t>
      </w:r>
    </w:p>
    <w:p>
      <w:pPr>
        <w:pStyle w:val="ListBullet"/>
        <w:numPr>
          <w:ilvl w:val="0"/>
          <w:numId w:val="0"/>
        </w:numPr>
        <w:ind w:left="0" w:hanging="0"/>
        <w:rPr>
          <w:rFonts w:ascii="Calibri" w:hAnsi="Calibri" w:eastAsia="ＭＳ ゴシック" w:cs="Calibri"/>
        </w:rPr>
      </w:pPr>
      <w:r>
        <w:rPr>
          <w:rFonts w:eastAsia="ＭＳ ゴシック" w:cs="Calibri" w:ascii="Calibri" w:hAnsi="Calibri"/>
        </w:rPr>
      </w:r>
    </w:p>
    <w:p>
      <w:pPr>
        <w:pStyle w:val="Heading1"/>
        <w:rPr>
          <w:color w:val="000000"/>
        </w:rPr>
      </w:pPr>
      <w:r>
        <w:rPr>
          <w:color w:val="000000"/>
        </w:rPr>
        <w:t>6. General professional responsibilities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Maintain the highest standards of integrity, confidentiality, attendance and professional conduct.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Participate fully in appraisal and relevant professional development.</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Ensure that records, reports and documentation are accurate, secure, accessible and completed within agreed timescales.</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Contribute to the effective day-to-day leadership of the school, including duties and emergency arrangements as required.</w:t>
      </w:r>
    </w:p>
    <w:p>
      <w:pPr>
        <w:pStyle w:val="ListBullet"/>
        <w:numPr>
          <w:ilvl w:val="0"/>
          <w:numId w:val="2"/>
        </w:numPr>
        <w:rPr>
          <w:rFonts w:ascii="Calibri" w:hAnsi="Calibri" w:eastAsia="ＭＳ ゴシック" w:cs="Calibri"/>
          <w:color w:val="000000"/>
        </w:rPr>
      </w:pPr>
      <w:r>
        <w:rPr>
          <w:rFonts w:eastAsia="ＭＳ ゴシック" w:cs="Calibri" w:ascii="Calibri" w:hAnsi="Calibri"/>
          <w:color w:val="000000"/>
        </w:rPr>
        <w:t>Carry out any other reasonable duties commensurate with the grade and seniority of the post.</w:t>
      </w:r>
    </w:p>
    <w:p>
      <w:pPr>
        <w:pStyle w:val="ListBullet"/>
        <w:numPr>
          <w:ilvl w:val="0"/>
          <w:numId w:val="0"/>
        </w:numPr>
        <w:ind w:left="360" w:right="0" w:hanging="360"/>
        <w:rPr>
          <w:rFonts w:ascii="Calibri" w:hAnsi="Calibri" w:eastAsia="ＭＳ ゴシック" w:cs="Calibri"/>
          <w:color w:val="000000"/>
        </w:rPr>
      </w:pPr>
      <w:r>
        <w:rPr>
          <w:rFonts w:eastAsia="ＭＳ ゴシック" w:cs="Calibri" w:ascii="Calibri" w:hAnsi="Calibri"/>
          <w:color w:val="000000"/>
        </w:rPr>
      </w:r>
    </w:p>
    <w:p>
      <w:pPr>
        <w:pStyle w:val="ListBullet"/>
        <w:numPr>
          <w:ilvl w:val="0"/>
          <w:numId w:val="0"/>
        </w:numPr>
        <w:ind w:left="0" w:hanging="0"/>
        <w:rPr>
          <w:rFonts w:ascii="Calibri" w:hAnsi="Calibri" w:cs="Calibri"/>
          <w:b/>
          <w:b/>
          <w:color w:val="auto"/>
          <w:szCs w:val="20"/>
        </w:rPr>
      </w:pPr>
      <w:r>
        <w:rPr>
          <w:rFonts w:cs="Calibri" w:ascii="Calibri" w:hAnsi="Calibri"/>
          <w:b/>
          <w:color w:val="auto"/>
          <w:szCs w:val="20"/>
        </w:rPr>
        <w:t>This job description is not intended to be an exhaustive list of duties and responsibilities. It may be reviewed and amended, following consultation with the post holder, to reflect the changing needs and priorities of the school.</w:t>
      </w:r>
    </w:p>
    <w:p>
      <w:pPr>
        <w:pStyle w:val="Normal"/>
        <w:widowControl/>
        <w:bidi w:val="0"/>
        <w:spacing w:lineRule="auto" w:line="256" w:before="0" w:after="100"/>
        <w:jc w:val="left"/>
        <w:rPr/>
      </w:pPr>
      <w:r>
        <w:rPr/>
      </w:r>
    </w:p>
    <w:sectPr>
      <w:headerReference w:type="default" r:id="rId3"/>
      <w:footerReference w:type="default" r:id="rId4"/>
      <w:type w:val="nextPage"/>
      <w:pgSz w:w="12240" w:h="15840"/>
      <w:pgMar w:left="1123" w:right="1123" w:header="403" w:top="936" w:footer="403" w:bottom="93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color w:val="4F6228"/>
        <w:sz w:val="16"/>
        <w:szCs w:val="16"/>
      </w:rPr>
      <w:t xml:space="preserve">Ludworth Primary School - Assistant Headteacher: Curriculum, Teaching &amp; Learning  </w:t>
    </w:r>
    <w:r>
      <w:rPr>
        <w:color w:val="4F6228"/>
        <w:sz w:val="16"/>
        <w:szCs w:val="16"/>
      </w:rPr>
      <w:fldChar w:fldCharType="begin"/>
    </w:r>
    <w:r>
      <w:rPr>
        <w:sz w:val="16"/>
        <w:szCs w:val="16"/>
      </w:rPr>
      <w:instrText> PAGE </w:instrText>
    </w:r>
    <w:r>
      <w:rPr>
        <w:sz w:val="16"/>
        <w:szCs w:val="16"/>
      </w:rPr>
      <w:fldChar w:fldCharType="separate"/>
    </w:r>
    <w:r>
      <w:rPr>
        <w:sz w:val="16"/>
        <w:szCs w:val="16"/>
      </w:rPr>
      <w:t>4</w:t>
    </w:r>
    <w:r>
      <w:rPr>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tbl>
    <w:tblPr>
      <w:tblW w:w="9935" w:type="dxa"/>
      <w:jc w:val="left"/>
      <w:tblInd w:w="0" w:type="dxa"/>
      <w:tblCellMar>
        <w:top w:w="65" w:type="dxa"/>
        <w:left w:w="90" w:type="dxa"/>
        <w:bottom w:w="65" w:type="dxa"/>
        <w:right w:w="90" w:type="dxa"/>
      </w:tblCellMar>
    </w:tblPr>
    <w:tblGrid>
      <w:gridCol w:w="4968"/>
      <w:gridCol w:w="4967"/>
    </w:tblGrid>
    <w:tr>
      <w:trPr/>
      <w:tc>
        <w:tcPr>
          <w:tcW w:w="4968" w:type="dxa"/>
          <w:tcBorders/>
          <w:shd w:fill="4F6228" w:val="clear"/>
          <w:vAlign w:val="center"/>
        </w:tcPr>
        <w:p>
          <w:pPr>
            <w:pStyle w:val="Normal"/>
            <w:widowControl/>
            <w:bidi w:val="0"/>
            <w:spacing w:lineRule="auto" w:line="256" w:before="0" w:after="100"/>
            <w:jc w:val="left"/>
            <w:rPr>
              <w:b/>
              <w:b/>
              <w:color w:val="FFFFFF"/>
              <w:sz w:val="16"/>
            </w:rPr>
          </w:pPr>
          <w:r>
            <w:rPr>
              <w:b/>
              <w:color w:val="FFFFFF"/>
              <w:sz w:val="16"/>
            </w:rPr>
            <w:t>LUDWORTH PRIMARY SCHOOL</w:t>
          </w:r>
        </w:p>
      </w:tc>
      <w:tc>
        <w:tcPr>
          <w:tcW w:w="4967" w:type="dxa"/>
          <w:tcBorders/>
          <w:shd w:fill="4F6228" w:val="clear"/>
          <w:vAlign w:val="center"/>
        </w:tcPr>
        <w:p>
          <w:pPr>
            <w:pStyle w:val="Normal"/>
            <w:spacing w:before="0" w:after="100"/>
            <w:jc w:val="right"/>
            <w:rPr>
              <w:b/>
              <w:b/>
              <w:color w:val="FFFFFF"/>
              <w:sz w:val="16"/>
            </w:rPr>
          </w:pPr>
          <w:r>
            <w:rPr>
              <w:b/>
              <w:color w:val="FFFFFF"/>
              <w:sz w:val="16"/>
            </w:rPr>
            <w:t>JOB DESCRIPTION</w:t>
          </w:r>
        </w:p>
      </w:tc>
    </w:tr>
  </w:tbl>
  <w:p>
    <w:pPr>
      <w:pStyle w:val="Normal"/>
      <w:widowControl/>
      <w:suppressAutoHyphens w:val="true"/>
      <w:bidi w:val="0"/>
      <w:spacing w:lineRule="auto" w:line="256" w:before="0" w:after="1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Fonts w:cs="Symbol"/>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00"/>
      <w:jc w:val="left"/>
    </w:pPr>
    <w:rPr>
      <w:rFonts w:ascii="Aptos" w:hAnsi="Aptos" w:eastAsia="Aptos" w:cs=""/>
      <w:color w:val="25313C"/>
      <w:kern w:val="0"/>
      <w:sz w:val="20"/>
      <w:szCs w:val="22"/>
      <w:lang w:val="en-US" w:eastAsia="en-US" w:bidi="ar-SA"/>
    </w:rPr>
  </w:style>
  <w:style w:type="paragraph" w:styleId="Heading1">
    <w:name w:val="Heading 1"/>
    <w:basedOn w:val="Normal"/>
    <w:next w:val="Normal"/>
    <w:qFormat/>
    <w:pPr>
      <w:keepNext w:val="true"/>
      <w:keepLines/>
      <w:numPr>
        <w:ilvl w:val="0"/>
        <w:numId w:val="1"/>
      </w:numPr>
      <w:spacing w:before="200" w:after="100"/>
      <w:outlineLvl w:val="0"/>
    </w:pPr>
    <w:rPr>
      <w:rFonts w:ascii="Calibri" w:hAnsi="Calibri" w:eastAsia="ＭＳ ゴシック" w:cs=""/>
      <w:b/>
      <w:bCs/>
      <w:color w:val="17365D"/>
      <w:sz w:val="34"/>
      <w:szCs w:val="28"/>
    </w:rPr>
  </w:style>
  <w:style w:type="paragraph" w:styleId="Heading2">
    <w:name w:val="Heading 2"/>
    <w:basedOn w:val="Normal"/>
    <w:next w:val="Normal"/>
    <w:qFormat/>
    <w:pPr>
      <w:keepNext w:val="true"/>
      <w:keepLines/>
      <w:numPr>
        <w:ilvl w:val="1"/>
        <w:numId w:val="1"/>
      </w:numPr>
      <w:spacing w:before="160" w:after="60"/>
      <w:outlineLvl w:val="1"/>
    </w:pPr>
    <w:rPr>
      <w:rFonts w:ascii="Calibri" w:hAnsi="Calibri" w:eastAsia="ＭＳ ゴシック" w:cs=""/>
      <w:b/>
      <w:bCs/>
      <w:color w:val="167D77"/>
      <w:sz w:val="24"/>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Cs w:val="20"/>
    </w:rPr>
  </w:style>
  <w:style w:type="character" w:styleId="WW8Num1z0">
    <w:name w:val="WW8Num1z0"/>
    <w:qFormat/>
    <w:rPr>
      <w:rFonts w:ascii="Symbol" w:hAnsi="Symbol" w:eastAsia="ＭＳ ゴシック" w:cs="Symbol"/>
      <w:color w:val="00000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Normal"/>
    <w:pPr>
      <w:spacing w:before="0" w:after="10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
      <w:color w:val="auto"/>
      <w:kern w:val="0"/>
      <w:sz w:val="20"/>
      <w:szCs w:val="22"/>
      <w:lang w:val="en-US" w:eastAsia="en-US" w:bidi="ar-SA"/>
    </w:rPr>
  </w:style>
  <w:style w:type="paragraph" w:styleId="Title">
    <w:name w:val="Title"/>
    <w:basedOn w:val="Normal"/>
    <w:next w:val="Normal"/>
    <w:qFormat/>
    <w:pPr>
      <w:pBdr>
        <w:bottom w:val="single" w:sz="8" w:space="4" w:color="4F81BD"/>
      </w:pBdr>
      <w:spacing w:lineRule="auto" w:line="240" w:before="0" w:after="300"/>
      <w:contextualSpacing/>
    </w:pPr>
    <w:rPr>
      <w:rFonts w:ascii="Calibri" w:hAnsi="Calibri" w:eastAsia="ＭＳ ゴシック" w:cs=""/>
      <w:b/>
      <w:color w:val="17365D"/>
      <w:spacing w:val="5"/>
      <w:kern w:val="2"/>
      <w:sz w:val="56"/>
      <w:szCs w:val="52"/>
    </w:rPr>
  </w:style>
  <w:style w:type="paragraph" w:styleId="Subtitle">
    <w:name w:val="Subtitle"/>
    <w:basedOn w:val="Normal"/>
    <w:next w:val="Normal"/>
    <w:qFormat/>
    <w:pPr/>
    <w:rPr>
      <w:rFonts w:ascii="Calibri" w:hAnsi="Calibri" w:eastAsia="ＭＳ ゴシック" w:cs=""/>
      <w:b/>
      <w:i/>
      <w:iCs/>
      <w:color w:val="167D77"/>
      <w:spacing w:val="15"/>
      <w:sz w:val="28"/>
      <w:szCs w:val="24"/>
    </w:rPr>
  </w:style>
  <w:style w:type="paragraph" w:styleId="ListParagraph">
    <w:name w:val="List Paragraph"/>
    <w:basedOn w:val="Normal"/>
    <w:qFormat/>
    <w:pPr>
      <w:spacing w:before="0" w:after="100"/>
      <w:ind w:left="720" w:right="0" w:hanging="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2">
    <w:name w:val="List Bullet 3"/>
    <w:basedOn w:val="Normal"/>
    <w:pPr>
      <w:spacing w:before="0" w:after="100"/>
      <w:ind w:left="720" w:right="0" w:hanging="360"/>
      <w:contextualSpacing/>
    </w:pPr>
    <w:rPr/>
  </w:style>
  <w:style w:type="paragraph" w:styleId="List3">
    <w:name w:val="List Bullet 4"/>
    <w:basedOn w:val="Normal"/>
    <w:pPr>
      <w:spacing w:before="0" w:after="100"/>
      <w:ind w:left="1080" w:right="0" w:hanging="360"/>
      <w:contextualSpacing/>
    </w:pPr>
    <w:rPr/>
  </w:style>
  <w:style w:type="paragraph" w:styleId="ListBullet">
    <w:name w:val="List Bullet"/>
    <w:basedOn w:val="Normal"/>
    <w:qFormat/>
    <w:pPr>
      <w:spacing w:before="0" w:after="60"/>
      <w:contextualSpacing/>
    </w:pPr>
    <w:rPr/>
  </w:style>
  <w:style w:type="paragraph" w:styleId="ListBullet2">
    <w:name w:val="List Bullet 2"/>
    <w:basedOn w:val="Normal"/>
    <w:qFormat/>
    <w:pPr>
      <w:spacing w:before="0" w:after="60"/>
      <w:contextualSpacing/>
    </w:pPr>
    <w:rPr/>
  </w:style>
  <w:style w:type="paragraph" w:styleId="ListBullet3">
    <w:name w:val="List Bullet 3"/>
    <w:basedOn w:val="Normal"/>
    <w:qFormat/>
    <w:pPr>
      <w:spacing w:before="0" w:after="100"/>
      <w:contextualSpacing/>
    </w:pPr>
    <w:rPr/>
  </w:style>
  <w:style w:type="paragraph" w:styleId="ListNumber">
    <w:name w:val="List Number"/>
    <w:basedOn w:val="Normal"/>
    <w:qFormat/>
    <w:pPr>
      <w:spacing w:before="0" w:after="100"/>
      <w:contextualSpacing/>
    </w:pPr>
    <w:rPr/>
  </w:style>
  <w:style w:type="paragraph" w:styleId="ListNumber2">
    <w:name w:val="List Number 2"/>
    <w:basedOn w:val="Normal"/>
    <w:qFormat/>
    <w:pPr>
      <w:spacing w:before="0" w:after="100"/>
      <w:contextualSpacing/>
    </w:pPr>
    <w:rPr/>
  </w:style>
  <w:style w:type="paragraph" w:styleId="ListNumber3">
    <w:name w:val="List Number 3"/>
    <w:basedOn w:val="Normal"/>
    <w:qFormat/>
    <w:pPr>
      <w:spacing w:before="0" w:after="10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