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1057" w:type="dxa"/>
        <w:jc w:val="left"/>
        <w:tblInd w:w="3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7"/>
      </w:tblGrid>
      <w:tr>
        <w:trPr/>
        <w:tc>
          <w:tcPr>
            <w:tcW w:w="11057" w:type="dxa"/>
            <w:tcBorders>
              <w:top w:val="single" w:sz="18" w:space="0" w:color="006666"/>
              <w:left w:val="single" w:sz="18" w:space="0" w:color="006666"/>
              <w:bottom w:val="single" w:sz="18" w:space="0" w:color="006666"/>
              <w:right w:val="single" w:sz="18" w:space="0" w:color="006666"/>
            </w:tcBorders>
          </w:tcPr>
          <w:p>
            <w:pPr>
              <w:pStyle w:val="Title"/>
              <w:ind w:left="-142" w:right="0"/>
              <w:rPr/>
            </w:pPr>
            <w:r>
              <w:rPr/>
              <mc:AlternateContent>
                <mc:Choice Requires="wps">
                  <w:drawing>
                    <wp:anchor behindDoc="0" distT="0" distB="0" distL="114935" distR="114300" simplePos="0" locked="0" layoutInCell="1" allowOverlap="1" relativeHeight="7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1143000</wp:posOffset>
                      </wp:positionV>
                      <wp:extent cx="1805305" cy="514985"/>
                      <wp:effectExtent l="635" t="635" r="0" b="0"/>
                      <wp:wrapNone/>
                      <wp:docPr id="1" name="Text Box 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5400" cy="515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9" path="m0,0l-2147483645,0l-2147483645,-2147483646l0,-2147483646xe" fillcolor="white" stroked="f" o:allowincell="t" style="position:absolute;margin-left:6.05pt;margin-top:90pt;width:142.1pt;height:40.5pt;mso-wrap-style:none;v-text-anchor:middle">
                      <v:fill o:detectmouseclick="t" type="solid" color2="black"/>
                      <v:stroke color="#3465a4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935" distR="114300" simplePos="0" locked="0" layoutInCell="1" allowOverlap="1" relativeHeight="8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1190625</wp:posOffset>
                      </wp:positionV>
                      <wp:extent cx="1805305" cy="424180"/>
                      <wp:effectExtent l="635" t="0" r="0" b="0"/>
                      <wp:wrapNone/>
                      <wp:docPr id="2" name="Fram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5400" cy="424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Frame1" path="m0,0l-2147483645,0l-2147483645,-2147483646l0,-2147483646xe" fillcolor="white" stroked="f" o:allowincell="t" style="position:absolute;margin-left:4.55pt;margin-top:93.75pt;width:142.1pt;height:33.35pt;mso-wrap-style:none;v-text-anchor:middle">
                      <v:fill o:detectmouseclick="t" type="solid" color2="black"/>
                      <v:stroke color="#3465a4" joinstyle="round" endcap="flat"/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7204710" cy="1027430"/>
                  <wp:effectExtent l="0" t="0" r="0" b="0"/>
                  <wp:docPr id="3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5" t="-105" r="-15" b="-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4710" cy="102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/>
                <w:b w:val="false"/>
                <w:sz w:val="24"/>
                <w:u w:val="none"/>
              </w:rPr>
              <w:t xml:space="preserve"> </w:t>
            </w:r>
            <w:r>
              <w:rPr>
                <w:szCs w:val="32"/>
                <w:u w:val="none"/>
              </w:rPr>
              <w:t>Stockport Council</w:t>
            </w:r>
            <w:r>
              <mc:AlternateContent>
                <mc:Choice Requires="wps">
                  <w:drawing>
                    <wp:anchor behindDoc="0" distT="72390" distB="72390" distL="0" distR="0" simplePos="0" locked="0" layoutInCell="1" allowOverlap="1" relativeHeight="9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1190625</wp:posOffset>
                      </wp:positionV>
                      <wp:extent cx="1805305" cy="424180"/>
                      <wp:effectExtent l="0" t="0" r="0" b="0"/>
                      <wp:wrapNone/>
                      <wp:docPr id="4" name="Fram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5305" cy="424180"/>
                              </a:xfrm>
                              <a:prstGeom prst="rect"/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p>
                                  <w:pPr>
                                    <w:pStyle w:val="FrameContents"/>
                                    <w:rPr/>
                                  </w:pPr>
                                  <w:r>
                                    <w:rPr/>
                                    <w:drawing>
                                      <wp:inline distT="0" distB="0" distL="0" distR="0">
                                        <wp:extent cx="1617980" cy="333375"/>
                                        <wp:effectExtent l="0" t="0" r="0" b="0"/>
                                        <wp:docPr id="5" name="Image1" descr="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Image1" descr="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"/>
                                                <a:srcRect l="-30" t="-145" r="-30" b="-14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7980" cy="3333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anchor="t" lIns="92710" tIns="46990" rIns="92710" bIns="4699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fillcolor="#FFFFFF" style="position:absolute;rotation:-0;width:142.15pt;height:33.4pt;mso-wrap-distance-left:0pt;mso-wrap-distance-right:0pt;mso-wrap-distance-top:5.7pt;mso-wrap-distance-bottom:5.7pt;margin-top:93.75pt;mso-position-vertical-relative:text;margin-left:4.55pt;mso-position-horizontal-relative:text">
                      <v:textbox inset="0.101388888888889in,0.0513888888888889in,0.101388888888889in,0.0513888888888889in">
                        <w:txbxContent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1617980" cy="333375"/>
                                  <wp:effectExtent l="0" t="0" r="0" b="0"/>
                                  <wp:docPr id="6" name="Image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 l="-30" t="-145" r="-30" b="-14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798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6570" w:leader="none"/>
              </w:tabs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cs="Arial" w:ascii="Arial" w:hAnsi="Arial"/>
                <w:b/>
                <w:sz w:val="32"/>
                <w:szCs w:val="32"/>
              </w:rPr>
              <w:t>Job Description</w:t>
            </w:r>
          </w:p>
          <w:p>
            <w:pPr>
              <w:pStyle w:val="Normal"/>
              <w:tabs>
                <w:tab w:val="left" w:pos="720" w:leader="none"/>
                <w:tab w:val="left" w:pos="1440" w:leader="none"/>
                <w:tab w:val="left" w:pos="2160" w:leader="none"/>
                <w:tab w:val="left" w:pos="2880" w:leader="none"/>
                <w:tab w:val="left" w:pos="6570" w:leader="none"/>
              </w:tabs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11057" w:type="dxa"/>
            <w:tcBorders>
              <w:top w:val="single" w:sz="18" w:space="0" w:color="006666"/>
              <w:left w:val="single" w:sz="18" w:space="0" w:color="006666"/>
              <w:bottom w:val="single" w:sz="18" w:space="0" w:color="006666"/>
              <w:right w:val="single" w:sz="18" w:space="0" w:color="006666"/>
            </w:tcBorders>
          </w:tcPr>
          <w:p>
            <w:pPr>
              <w:pStyle w:val="Normal"/>
              <w:snapToGrid w:val="false"/>
              <w:ind w:left="179" w:right="178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Title"/>
              <w:ind w:left="179" w:right="178"/>
              <w:jc w:val="both"/>
              <w:rPr/>
            </w:pPr>
            <w:r>
              <w:rPr>
                <w:rFonts w:cs="Arial"/>
                <w:sz w:val="20"/>
                <w:u w:val="none"/>
              </w:rPr>
              <w:t>Job Title:</w:t>
              <w:tab/>
              <w:t xml:space="preserve">   </w:t>
            </w:r>
            <w:r>
              <w:rPr>
                <w:rFonts w:cs="Arial"/>
                <w:b w:val="false"/>
                <w:sz w:val="20"/>
                <w:u w:val="none"/>
              </w:rPr>
              <w:t>Teacher with TLR2 payment (SENDCo - Primary)</w:t>
            </w:r>
          </w:p>
          <w:p>
            <w:pPr>
              <w:pStyle w:val="Title"/>
              <w:ind w:left="179" w:right="178"/>
              <w:jc w:val="both"/>
              <w:rPr>
                <w:rFonts w:cs="Arial"/>
                <w:sz w:val="20"/>
                <w:u w:val="none"/>
              </w:rPr>
            </w:pPr>
            <w:r>
              <w:rPr>
                <w:rFonts w:cs="Arial"/>
                <w:sz w:val="20"/>
                <w:u w:val="none"/>
              </w:rPr>
              <w:tab/>
              <w:tab/>
            </w:r>
          </w:p>
          <w:p>
            <w:pPr>
              <w:pStyle w:val="Normal"/>
              <w:ind w:left="179" w:right="178"/>
              <w:jc w:val="both"/>
              <w:rPr/>
            </w:pPr>
            <w:r>
              <w:rPr>
                <w:rFonts w:cs="Arial" w:ascii="Arial" w:hAnsi="Arial"/>
                <w:b/>
              </w:rPr>
              <w:t xml:space="preserve">School:  </w:t>
              <w:tab/>
              <w:t xml:space="preserve">   </w:t>
            </w:r>
            <w:r>
              <w:rPr>
                <w:rFonts w:cs="Arial" w:ascii="Arial" w:hAnsi="Arial"/>
              </w:rPr>
              <w:t xml:space="preserve">Oak Tree Primary School </w:t>
            </w:r>
          </w:p>
          <w:p>
            <w:pPr>
              <w:pStyle w:val="Normal"/>
              <w:ind w:left="179" w:right="178"/>
              <w:jc w:val="both"/>
              <w:rPr>
                <w:rFonts w:ascii="Arial" w:hAnsi="Arial" w:eastAsia="Arial" w:cs="Arial"/>
                <w:b/>
                <w:position w:val="0"/>
                <w:sz w:val="24"/>
                <w:vertAlign w:val="baseline"/>
              </w:rPr>
            </w:pPr>
            <w:r>
              <w:rPr>
                <w:rFonts w:eastAsia="Arial" w:cs="Arial" w:ascii="Arial" w:hAnsi="Arial"/>
                <w:b/>
                <w:position w:val="0"/>
                <w:sz w:val="24"/>
                <w:vertAlign w:val="baseline"/>
              </w:rPr>
              <w:t xml:space="preserve">               </w:t>
            </w:r>
          </w:p>
          <w:p>
            <w:pPr>
              <w:pStyle w:val="Title"/>
              <w:ind w:left="179" w:right="178"/>
              <w:jc w:val="both"/>
              <w:rPr/>
            </w:pPr>
            <w:r>
              <w:rPr>
                <w:rFonts w:cs="Arial"/>
                <w:sz w:val="20"/>
                <w:u w:val="none"/>
              </w:rPr>
              <w:t xml:space="preserve">Salary Grade:  </w:t>
            </w:r>
            <w:r>
              <w:rPr>
                <w:rFonts w:cs="Arial"/>
                <w:b w:val="false"/>
                <w:sz w:val="20"/>
                <w:u w:val="none"/>
              </w:rPr>
              <w:t>Teachers’ Pay Range/ UPS plus TLR2</w:t>
            </w:r>
          </w:p>
          <w:p>
            <w:pPr>
              <w:pStyle w:val="Normal"/>
              <w:ind w:left="179" w:right="178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11057" w:type="dxa"/>
            <w:tcBorders>
              <w:top w:val="single" w:sz="18" w:space="0" w:color="006666"/>
              <w:left w:val="single" w:sz="18" w:space="0" w:color="006666"/>
              <w:bottom w:val="single" w:sz="18" w:space="0" w:color="006666"/>
              <w:right w:val="single" w:sz="18" w:space="0" w:color="006666"/>
            </w:tcBorders>
          </w:tcPr>
          <w:p>
            <w:pPr>
              <w:pStyle w:val="Normal"/>
              <w:snapToGrid w:val="false"/>
              <w:ind w:left="179" w:right="178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Normal"/>
              <w:ind w:left="179" w:right="178"/>
              <w:jc w:val="both"/>
              <w:rPr/>
            </w:pPr>
            <w:r>
              <w:rPr>
                <w:rFonts w:cs="Arial" w:ascii="Arial" w:hAnsi="Arial"/>
                <w:b/>
              </w:rPr>
              <w:t xml:space="preserve">Post Reports to:     </w:t>
            </w:r>
            <w:r>
              <w:rPr>
                <w:rFonts w:cs="Arial" w:ascii="Arial" w:hAnsi="Arial"/>
              </w:rPr>
              <w:t xml:space="preserve">Headteacher   </w:t>
            </w:r>
            <w:r>
              <w:rPr>
                <w:rFonts w:cs="Arial" w:ascii="Arial" w:hAnsi="Arial"/>
                <w:b/>
              </w:rPr>
              <w:t xml:space="preserve">  </w:t>
            </w:r>
          </w:p>
          <w:p>
            <w:pPr>
              <w:pStyle w:val="Normal"/>
              <w:ind w:left="179" w:right="178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</w:tr>
      <w:tr>
        <w:trPr/>
        <w:tc>
          <w:tcPr>
            <w:tcW w:w="11057" w:type="dxa"/>
            <w:tcBorders>
              <w:top w:val="single" w:sz="18" w:space="0" w:color="006666"/>
              <w:left w:val="single" w:sz="18" w:space="0" w:color="006666"/>
              <w:bottom w:val="single" w:sz="18" w:space="0" w:color="006666"/>
              <w:right w:val="single" w:sz="18" w:space="0" w:color="006666"/>
            </w:tcBorders>
          </w:tcPr>
          <w:p>
            <w:pPr>
              <w:pStyle w:val="Normal"/>
              <w:ind w:left="181" w:right="176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General Duties:</w:t>
            </w:r>
          </w:p>
          <w:p>
            <w:pPr>
              <w:pStyle w:val="Normal"/>
              <w:ind w:left="181" w:right="176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TNCBodyText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Have overall responsibility for determining the strategic development of SEND policy and provision across the school.</w:t>
            </w:r>
          </w:p>
          <w:p>
            <w:pPr>
              <w:pStyle w:val="TNCBodyText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Have day-to-day responsibility for the coordination of SEND provision to support individual pupils.</w:t>
            </w:r>
          </w:p>
          <w:p>
            <w:pPr>
              <w:pStyle w:val="TNCBodyText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Lead and manage the provision for a small number of pupils with complex needs</w:t>
            </w:r>
          </w:p>
          <w:p>
            <w:pPr>
              <w:pStyle w:val="TNCBodyText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Where a looked after child has SEND, ensure effective communication with the designated teacher.</w:t>
            </w:r>
          </w:p>
          <w:p>
            <w:pPr>
              <w:pStyle w:val="TNCBodyText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Advise on the graduated approach to providing SEND support.</w:t>
            </w:r>
          </w:p>
          <w:p>
            <w:pPr>
              <w:pStyle w:val="TNCBodyText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Advise on the deployment of the school’s delegated budget and other resources to meet pupils’ needs effectively.</w:t>
            </w:r>
          </w:p>
          <w:p>
            <w:pPr>
              <w:pStyle w:val="TNCBodyText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Liaise with the parents of pupils with SEND.</w:t>
            </w:r>
          </w:p>
          <w:p>
            <w:pPr>
              <w:pStyle w:val="TNCBodyText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Liaise with early years providers, other schools, agencies, health and social care professionals and other bodies with regards to SEND provision.</w:t>
            </w:r>
          </w:p>
          <w:p>
            <w:pPr>
              <w:pStyle w:val="TNCBodyText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Be the key point of contact with external agencies, particularly the LA and its support services, and ensure that these links are actively promoted.</w:t>
            </w:r>
          </w:p>
          <w:p>
            <w:pPr>
              <w:pStyle w:val="TNCBodyText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Liaise with potential next providers of education to ensure pupils and their parents are informed about their options, and that a smooth transition is planned.</w:t>
            </w:r>
          </w:p>
          <w:p>
            <w:pPr>
              <w:pStyle w:val="TNCBodyText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Work with the headteacher and the governing board to ensure that the school meets its responsibilities under the Equality Act 2010 with regards to reasonable adjustments and access arrangements. </w:t>
            </w:r>
          </w:p>
          <w:p>
            <w:pPr>
              <w:pStyle w:val="TNCBodyText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Ensure the school keeps an accurate record of all pupils with SEND and that this remains up-to-date. </w:t>
            </w:r>
          </w:p>
          <w:p>
            <w:pPr>
              <w:pStyle w:val="TNCBodyText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Undertake training and CPD to improve and maintain a well-rounded knowledge of SEND provision to ensure duties can be effectively performed. </w:t>
            </w:r>
          </w:p>
          <w:p>
            <w:pPr>
              <w:pStyle w:val="TNCBodyText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Ensure the specific requirements of pupils with SEND are understood and support measures are implemented effectively. </w:t>
            </w:r>
          </w:p>
          <w:p>
            <w:pPr>
              <w:pStyle w:val="TNCBodyText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Have a sound knowledge of how relevant legislation, including the ‘SEND Code of Practice: 0 to 25 years’, impacts the school’s SEND provision. </w:t>
            </w:r>
          </w:p>
          <w:p>
            <w:pPr>
              <w:pStyle w:val="TNCBodyText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cs="Arial" w:ascii="Arial" w:hAnsi="Arial"/>
                <w:sz w:val="20"/>
                <w:szCs w:val="20"/>
              </w:rPr>
              <w:t>Participate in the implementation of EHC plans with parents of pupils with SEND, monitoring their impact and making any necessary adjustments to ensure pupils make progress.</w:t>
            </w:r>
          </w:p>
          <w:p>
            <w:pPr>
              <w:pStyle w:val="TNCBodyText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650" w:hRule="atLeast"/>
        </w:trPr>
        <w:tc>
          <w:tcPr>
            <w:tcW w:w="11057" w:type="dxa"/>
            <w:tcBorders>
              <w:top w:val="single" w:sz="18" w:space="0" w:color="006666"/>
              <w:left w:val="single" w:sz="18" w:space="0" w:color="006666"/>
              <w:bottom w:val="single" w:sz="18" w:space="0" w:color="006666"/>
              <w:right w:val="single" w:sz="18" w:space="0" w:color="006666"/>
            </w:tcBorders>
          </w:tcPr>
          <w:p>
            <w:pPr>
              <w:pStyle w:val="Normal"/>
              <w:tabs>
                <w:tab w:val="left" w:pos="-720" w:leader="none"/>
                <w:tab w:val="left" w:pos="244" w:leader="none"/>
                <w:tab w:val="left" w:pos="321" w:leader="none"/>
                <w:tab w:val="left" w:pos="489" w:leader="none"/>
                <w:tab w:val="left" w:pos="720" w:leader="none"/>
                <w:tab w:val="left" w:pos="979" w:leader="none"/>
                <w:tab w:val="left" w:pos="1224" w:leader="none"/>
                <w:tab w:val="left" w:pos="1440" w:leader="none"/>
                <w:tab w:val="left" w:pos="1713" w:leader="none"/>
                <w:tab w:val="left" w:pos="1958" w:leader="none"/>
                <w:tab w:val="left" w:pos="2160" w:leader="none"/>
                <w:tab w:val="left" w:pos="2448" w:leader="none"/>
                <w:tab w:val="left" w:pos="2692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</w:tabs>
              <w:ind w:hanging="142" w:left="321" w:right="178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Teaching and Learning:</w:t>
            </w:r>
          </w:p>
          <w:p>
            <w:pPr>
              <w:pStyle w:val="Normal"/>
              <w:tabs>
                <w:tab w:val="left" w:pos="-720" w:leader="none"/>
                <w:tab w:val="left" w:pos="244" w:leader="none"/>
                <w:tab w:val="left" w:pos="321" w:leader="none"/>
                <w:tab w:val="left" w:pos="489" w:leader="none"/>
                <w:tab w:val="left" w:pos="720" w:leader="none"/>
                <w:tab w:val="left" w:pos="979" w:leader="none"/>
                <w:tab w:val="left" w:pos="1224" w:leader="none"/>
                <w:tab w:val="left" w:pos="1440" w:leader="none"/>
                <w:tab w:val="left" w:pos="1713" w:leader="none"/>
                <w:tab w:val="left" w:pos="1958" w:leader="none"/>
                <w:tab w:val="left" w:pos="2160" w:leader="none"/>
                <w:tab w:val="left" w:pos="2448" w:leader="none"/>
                <w:tab w:val="left" w:pos="2692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</w:tabs>
              <w:ind w:hanging="142" w:left="321" w:right="178"/>
              <w:jc w:val="both"/>
              <w:rPr>
                <w:rFonts w:ascii="Arial" w:hAnsi="Arial" w:cs="Arial"/>
                <w:b/>
                <w:u w:val="single"/>
              </w:rPr>
            </w:pPr>
            <w:r>
              <w:rPr>
                <w:rFonts w:cs="Arial" w:ascii="Arial" w:hAnsi="Arial"/>
                <w:b/>
                <w:u w:val="single"/>
              </w:rPr>
            </w:r>
          </w:p>
          <w:p>
            <w:pPr>
              <w:pStyle w:val="Normal"/>
              <w:numPr>
                <w:ilvl w:val="0"/>
                <w:numId w:val="4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 xml:space="preserve">Liaise with the </w:t>
            </w:r>
            <w:r>
              <w:rPr>
                <w:rFonts w:eastAsia="Poppins-Regular" w:cs="Arial" w:ascii="Arial" w:hAnsi="Arial"/>
                <w:bCs/>
              </w:rPr>
              <w:t>headteacher</w:t>
            </w:r>
            <w:r>
              <w:rPr>
                <w:rFonts w:eastAsia="Poppins-Regular" w:cs="Arial" w:ascii="Arial" w:hAnsi="Arial"/>
              </w:rPr>
              <w:t xml:space="preserve"> to ensure an appropriate, broad, high-quality and cost-effective curriculum is delivered to pupils with SEND.  </w:t>
            </w:r>
          </w:p>
          <w:p>
            <w:pPr>
              <w:pStyle w:val="Normal"/>
              <w:numPr>
                <w:ilvl w:val="0"/>
                <w:numId w:val="4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 xml:space="preserve">Keep up-to-date with local and national developments in teaching pupils with SEND and communicate these to all members of staff. </w:t>
            </w:r>
          </w:p>
          <w:p>
            <w:pPr>
              <w:pStyle w:val="Normal"/>
              <w:numPr>
                <w:ilvl w:val="0"/>
                <w:numId w:val="4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>Monitor teaching and learning activities to ensure that they meet the specific needs of pupils with SEND.</w:t>
            </w:r>
          </w:p>
          <w:p>
            <w:pPr>
              <w:pStyle w:val="Normal"/>
              <w:numPr>
                <w:ilvl w:val="0"/>
                <w:numId w:val="4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>Provide effective, relevant CPD for staff</w:t>
            </w:r>
          </w:p>
          <w:p>
            <w:pPr>
              <w:pStyle w:val="Normal"/>
              <w:numPr>
                <w:ilvl w:val="0"/>
                <w:numId w:val="4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>Lead and manage interventions across school, including tracking, reviewing and monitoring impact</w:t>
            </w:r>
          </w:p>
          <w:p>
            <w:pPr>
              <w:pStyle w:val="Default"/>
              <w:tabs>
                <w:tab w:val="clear" w:pos="720"/>
                <w:tab w:val="left" w:pos="321" w:leader="none"/>
              </w:tabs>
              <w:ind w:hanging="142" w:left="321" w:right="178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</w:tr>
      <w:tr>
        <w:trPr>
          <w:trHeight w:val="806" w:hRule="atLeast"/>
        </w:trPr>
        <w:tc>
          <w:tcPr>
            <w:tcW w:w="11057" w:type="dxa"/>
            <w:tcBorders>
              <w:top w:val="single" w:sz="18" w:space="0" w:color="006666"/>
              <w:left w:val="single" w:sz="18" w:space="0" w:color="006666"/>
              <w:bottom w:val="single" w:sz="18" w:space="0" w:color="006666"/>
              <w:right w:val="single" w:sz="18" w:space="0" w:color="006666"/>
            </w:tcBorders>
          </w:tcPr>
          <w:p>
            <w:pPr>
              <w:pStyle w:val="Normal"/>
              <w:jc w:val="both"/>
              <w:rPr>
                <w:rFonts w:ascii="Arial" w:hAnsi="Arial" w:eastAsia="Poppins-Regular" w:cs="Arial"/>
                <w:b/>
                <w:bCs/>
              </w:rPr>
            </w:pPr>
            <w:r>
              <w:rPr>
                <w:rFonts w:eastAsia="Poppins-Regular" w:cs="Arial" w:ascii="Arial" w:hAnsi="Arial"/>
                <w:b/>
                <w:bCs/>
              </w:rPr>
              <w:t>Leadership and management</w:t>
            </w:r>
          </w:p>
          <w:p>
            <w:pPr>
              <w:pStyle w:val="Normal"/>
              <w:jc w:val="both"/>
              <w:rPr>
                <w:rFonts w:ascii="Arial" w:hAnsi="Arial" w:eastAsia="Poppins-Regular" w:cs="Arial"/>
                <w:b/>
                <w:bCs/>
              </w:rPr>
            </w:pPr>
            <w:r>
              <w:rPr>
                <w:rFonts w:eastAsia="Poppins-Regular" w:cs="Arial" w:ascii="Arial" w:hAnsi="Arial"/>
                <w:b/>
                <w:bCs/>
              </w:rPr>
            </w:r>
          </w:p>
          <w:p>
            <w:pPr>
              <w:pStyle w:val="Normal"/>
              <w:numPr>
                <w:ilvl w:val="0"/>
                <w:numId w:val="5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>Drive the strategic direction of SEND provision as an active member of the SLT.</w:t>
            </w:r>
          </w:p>
          <w:p>
            <w:pPr>
              <w:pStyle w:val="Normal"/>
              <w:numPr>
                <w:ilvl w:val="0"/>
                <w:numId w:val="5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>Lead, motivate, and inspire colleagues through impactful training and day-to-day mentoring.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eastAsia="Poppins-Regular" w:cs="Arial" w:ascii="Arial" w:hAnsi="Arial"/>
              </w:rPr>
              <w:t xml:space="preserve">Coordinate and support the staff team in SEND matters. 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eastAsia="Poppins-Regular" w:cs="Arial" w:ascii="Arial" w:hAnsi="Arial"/>
              </w:rPr>
              <w:t>Drive forward best practice based on the latest educational research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eastAsia="Poppins-Regular" w:cs="Arial" w:ascii="Arial" w:hAnsi="Arial"/>
              </w:rPr>
              <w:t>Support staff members to understand the needs of pupils with SEND.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eastAsia="Poppins-Regular" w:cs="Arial" w:ascii="Arial" w:hAnsi="Arial"/>
              </w:rPr>
              <w:t xml:space="preserve">Promote a safe and secure learning environment for pupils with SEND, and action improvement plans where necessary. 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eastAsia="Poppins-Regular" w:cs="Arial" w:ascii="Arial" w:hAnsi="Arial"/>
              </w:rPr>
              <w:t>Provide professional guidance and CPD to staff to secure good quality teaching and provision for pupils with SEND, including those with complex needs.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eastAsia="Poppins-Regular" w:cs="Arial" w:ascii="Arial" w:hAnsi="Arial"/>
              </w:rPr>
              <w:t>Guide staff in recognising and fulfilling their responsibilities to support pupils with SEND.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eastAsia="Poppins-Regular" w:cs="Arial" w:ascii="Arial" w:hAnsi="Arial"/>
              </w:rPr>
              <w:t xml:space="preserve">Contribute to the performance management process of teachers, learning support staff and TAs. 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eastAsia="Poppins-Regular" w:cs="Arial" w:ascii="Arial" w:hAnsi="Arial"/>
              </w:rPr>
              <w:t xml:space="preserve">Act as a point of contact and offer advice to staff seeking to learn more about, or develop skills relating to, SEND.  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eastAsia="Poppins-Regular" w:cs="Arial" w:ascii="Arial" w:hAnsi="Arial"/>
              </w:rPr>
              <w:t xml:space="preserve">Ensure the school’s SEND provision is inclusive at all levels. 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eastAsia="Poppins-Regular" w:cs="Arial" w:ascii="Arial" w:hAnsi="Arial"/>
              </w:rPr>
              <w:t xml:space="preserve">Contribute to curriculum planning to ensure that it reflects the needs of pupils with SEND. 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eastAsia="Poppins-Regular" w:cs="Arial" w:ascii="Arial" w:hAnsi="Arial"/>
                <w:bCs/>
              </w:rPr>
              <w:t xml:space="preserve">Contribute to the creation of an effective school development plan which appropriately considers the needs of pupils with SEND. 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Arial" w:hAnsi="Arial" w:eastAsia="Poppins-Regular" w:cs="Arial"/>
                <w:bCs/>
              </w:rPr>
            </w:pPr>
            <w:r>
              <w:rPr>
                <w:rFonts w:eastAsia="Poppins-Regular" w:cs="Arial" w:ascii="Arial" w:hAnsi="Arial"/>
                <w:bCs/>
              </w:rPr>
              <w:t>Ensure robust SEND support plans with challenging targets for raising achievement amongst pupils with SEND</w:t>
            </w:r>
          </w:p>
        </w:tc>
      </w:tr>
      <w:tr>
        <w:trPr>
          <w:trHeight w:val="806" w:hRule="atLeast"/>
        </w:trPr>
        <w:tc>
          <w:tcPr>
            <w:tcW w:w="11057" w:type="dxa"/>
            <w:tcBorders>
              <w:top w:val="single" w:sz="18" w:space="0" w:color="006666"/>
              <w:left w:val="single" w:sz="18" w:space="0" w:color="006666"/>
              <w:bottom w:val="single" w:sz="18" w:space="0" w:color="006666"/>
              <w:right w:val="single" w:sz="18" w:space="0" w:color="006666"/>
            </w:tcBorders>
          </w:tcPr>
          <w:p>
            <w:pPr>
              <w:pStyle w:val="Normal"/>
              <w:jc w:val="both"/>
              <w:rPr>
                <w:rFonts w:ascii="Arial" w:hAnsi="Arial" w:eastAsia="Poppins-Regular" w:cs="Arial"/>
                <w:b/>
                <w:bCs/>
              </w:rPr>
            </w:pPr>
            <w:r>
              <w:rPr>
                <w:rFonts w:eastAsia="Poppins-Regular" w:cs="Arial" w:ascii="Arial" w:hAnsi="Arial"/>
                <w:b/>
                <w:bCs/>
              </w:rPr>
              <w:t>Communication</w:t>
            </w:r>
          </w:p>
          <w:p>
            <w:pPr>
              <w:pStyle w:val="Normal"/>
              <w:jc w:val="both"/>
              <w:rPr>
                <w:rFonts w:ascii="Arial" w:hAnsi="Arial" w:eastAsia="Poppins-Regular" w:cs="Arial"/>
                <w:b/>
                <w:bCs/>
              </w:rPr>
            </w:pPr>
            <w:r>
              <w:rPr>
                <w:rFonts w:eastAsia="Poppins-Regular" w:cs="Arial" w:ascii="Arial" w:hAnsi="Arial"/>
                <w:b/>
                <w:bCs/>
              </w:rPr>
            </w:r>
          </w:p>
          <w:p>
            <w:pPr>
              <w:pStyle w:val="Normal"/>
              <w:numPr>
                <w:ilvl w:val="0"/>
                <w:numId w:val="6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>Work closely with staff, families, and external agencies to ensure every child’s needs are met.</w:t>
            </w:r>
          </w:p>
          <w:p>
            <w:pPr>
              <w:pStyle w:val="Normal"/>
              <w:numPr>
                <w:ilvl w:val="0"/>
                <w:numId w:val="6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>Contribute to leadership meetings by reporting on the effectiveness of SEND provision and sharing information with the key stakeholders.</w:t>
            </w:r>
          </w:p>
          <w:p>
            <w:pPr>
              <w:pStyle w:val="Normal"/>
              <w:numPr>
                <w:ilvl w:val="0"/>
                <w:numId w:val="6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>Ensure staff are aware of developments with regards to SEND provision and policy in their identified areas of responsibility.</w:t>
            </w:r>
          </w:p>
          <w:p>
            <w:pPr>
              <w:pStyle w:val="Normal"/>
              <w:numPr>
                <w:ilvl w:val="0"/>
                <w:numId w:val="6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>Talk to pupils with SEND and listen to their feedback, with a view to developing a more effective support system.</w:t>
            </w:r>
          </w:p>
          <w:p>
            <w:pPr>
              <w:pStyle w:val="Normal"/>
              <w:numPr>
                <w:ilvl w:val="0"/>
                <w:numId w:val="6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>Develop and maintain effective relationships with parents, colleagues, the governing board and the local community.</w:t>
            </w:r>
          </w:p>
          <w:p>
            <w:pPr>
              <w:pStyle w:val="Normal"/>
              <w:numPr>
                <w:ilvl w:val="0"/>
                <w:numId w:val="6"/>
              </w:numPr>
              <w:jc w:val="both"/>
              <w:rPr/>
            </w:pPr>
            <w:r>
              <w:rPr>
                <w:rFonts w:eastAsia="Poppins-Regular" w:cs="Arial" w:ascii="Arial" w:hAnsi="Arial"/>
              </w:rPr>
              <w:t>Develop and maintain links with the LA advisory and support services.</w:t>
            </w:r>
          </w:p>
          <w:p>
            <w:pPr>
              <w:pStyle w:val="Normal"/>
              <w:numPr>
                <w:ilvl w:val="0"/>
                <w:numId w:val="6"/>
              </w:numPr>
              <w:jc w:val="both"/>
              <w:rPr>
                <w:rFonts w:ascii="Arial" w:hAnsi="Arial" w:eastAsia="Poppins-Regular" w:cs="Arial"/>
              </w:rPr>
            </w:pPr>
            <w:r>
              <w:rPr>
                <w:rFonts w:eastAsia="Poppins-Regular" w:cs="Arial" w:ascii="Arial" w:hAnsi="Arial"/>
              </w:rPr>
            </w:r>
            <w:bookmarkStart w:id="0" w:name="_GoBack"/>
            <w:bookmarkStart w:id="1" w:name="_GoBack"/>
            <w:bookmarkEnd w:id="1"/>
          </w:p>
        </w:tc>
      </w:tr>
    </w:tbl>
    <w:p>
      <w:pPr>
        <w:pStyle w:val="Normal"/>
        <w:rPr>
          <w:rFonts w:cs="Arial"/>
          <w:b/>
          <w:sz w:val="28"/>
          <w:szCs w:val="28"/>
          <w:lang w:eastAsia="en-GB"/>
        </w:rPr>
      </w:pPr>
      <w:r>
        <w:rPr>
          <w:rFonts w:cs="Arial"/>
          <w:b/>
          <w:sz w:val="28"/>
          <w:szCs w:val="28"/>
          <w:lang w:eastAsia="en-GB"/>
        </w:rPr>
      </w:r>
    </w:p>
    <w:p>
      <w:pPr>
        <w:pStyle w:val="Normal"/>
        <w:rPr>
          <w:rFonts w:cs="Arial"/>
          <w:b/>
          <w:sz w:val="28"/>
          <w:szCs w:val="28"/>
          <w:lang w:eastAsia="en-GB"/>
        </w:rPr>
      </w:pPr>
      <w:r>
        <w:rPr>
          <w:rFonts w:cs="Arial"/>
          <w:b/>
          <w:sz w:val="28"/>
          <w:szCs w:val="28"/>
          <w:lang w:eastAsia="en-GB"/>
        </w:rPr>
      </w:r>
    </w:p>
    <w:sectPr>
      <w:footerReference w:type="default" r:id="rId5"/>
      <w:type w:val="nextPage"/>
      <w:pgSz w:w="11906" w:h="16838"/>
      <w:pgMar w:left="425" w:right="707" w:gutter="0" w:header="0" w:top="425" w:footer="313" w:bottom="37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Poppins-Regular">
    <w:charset w:val="00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0" distB="0" distL="114935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3388995" t="635" r="0" b="0"/>
              <wp:wrapSquare wrapText="largest"/>
              <wp:docPr id="7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l21600,21600l21600,xe">
              <v:stroke joinstyle="miter"/>
              <v:path gradientshapeok="t" o:connecttype="rect"/>
            </v:shapetype>
            <v:shape id="shape_0" fillcolor="white" stroked="f" o:allowincell="f" style="position:absolute;margin-left:266.85pt;margin-top:0.05pt;width:4.95pt;height:11.45pt;mso-wrap-style:none;v-text-anchor:middle;mso-position-horizontal:center;mso-position-horizontal-relative:margin" type="_x0000_t202">
              <v:textbox>
                <w:txbxContent>
                  <w:p>
                    <w:pPr>
                      <w:overflowPunct w:val="false"/>
                      <w:rPr/>
                    </w:pPr>
                    <w:r>
                      <w:rPr>
                        <w:sz w:val="24"/>
                        <w:kern w:val="2"/>
                        <w:szCs w:val="24"/>
                        <w:rFonts w:ascii="Liberation Serif" w:hAnsi="Liberation Serif" w:eastAsia="NSimSun" w:cs="Lucida Sans"/>
                        <w:lang w:val="en-US" w:eastAsia="zh-CN" w:bidi="hi-IN"/>
                      </w:rPr>
                    </w:r>
                  </w:p>
                </w:txbxContent>
              </v:textbox>
              <v:fill o:detectmouseclick="t" type="solid" color2="black" opacity="0"/>
              <v:stroke color="#3465a4" joinstyle="round" endcap="flat"/>
              <w10:wrap type="square" side="largest"/>
            </v:shape>
          </w:pict>
        </mc:Fallback>
      </mc:AlternateContent>
    </w:r>
    <w:r>
      <mc:AlternateContent>
        <mc:Choice Requires="wps">
          <w:drawing>
            <wp:anchor behindDoc="1" distT="72390" distB="7239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None/>
              <wp:docPr id="8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00" cy="146050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1270" tIns="1270" rIns="1270" bIns="127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pt;height:11.5pt;mso-wrap-distance-left:0pt;mso-wrap-distance-right:0pt;mso-wrap-distance-top:5.7pt;mso-wrap-distance-bottom:5.7pt;margin-top:0.05pt;mso-position-vertical-relative:text;margin-left:266.85pt;mso-position-horizontal:center;mso-position-horizontal-relative:margin">
              <v:textbox inset="0.00138888888888889in,0.00138888888888889in,0.00138888888888889in,0.00138888888888889in"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GB" w:eastAsia="en-US" w:bidi="ar-SA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both"/>
      <w:outlineLvl w:val="1"/>
    </w:pPr>
    <w:rPr>
      <w:rFonts w:ascii="Times;Times New Roman" w:hAnsi="Times;Times New Roman" w:cs="Times;Times New Roman"/>
      <w:sz w:val="24"/>
      <w:u w:val="single"/>
    </w:rPr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  <w:b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pagenumber">
    <w:name w:val="page number"/>
    <w:basedOn w:val="DefaultParagraph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itle">
    <w:name w:val="Title"/>
    <w:basedOn w:val="Normal"/>
    <w:next w:val="BodyText"/>
    <w:qFormat/>
    <w:pPr>
      <w:jc w:val="center"/>
    </w:pPr>
    <w:rPr>
      <w:rFonts w:ascii="Arial" w:hAnsi="Arial" w:cs="Arial"/>
      <w:b/>
      <w:sz w:val="32"/>
      <w:u w:val="single"/>
    </w:rPr>
  </w:style>
  <w:style w:type="paragraph" w:styleId="Level1">
    <w:name w:val="Level 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paragraph" w:styleId="PlainText">
    <w:name w:val="Plain Text"/>
    <w:basedOn w:val="Normal"/>
    <w:qFormat/>
    <w:pPr/>
    <w:rPr>
      <w:rFonts w:ascii="Courier New" w:hAnsi="Courier New" w:cs="Courier New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0"/>
      <w:szCs w:val="24"/>
      <w:lang w:val="en-GB" w:eastAsia="en-GB" w:bidi="ar-SA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TNCBodyText">
    <w:name w:val="TNC Body Text"/>
    <w:basedOn w:val="Normal"/>
    <w:qFormat/>
    <w:pPr>
      <w:spacing w:lineRule="auto" w:line="276" w:before="100" w:after="100"/>
      <w:jc w:val="both"/>
    </w:pPr>
    <w:rPr>
      <w:rFonts w:ascii="Poppins-Regular" w:hAnsi="Poppins-Regular" w:eastAsia="Poppins-Regular" w:cs="Lucida Sans"/>
      <w:sz w:val="22"/>
      <w:szCs w:val="2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image" Target="media/image2.wmf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