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1102" w:type="dxa"/>
        <w:jc w:val="left"/>
        <w:tblInd w:w="86" w:type="dxa"/>
        <w:tblCellMar>
          <w:top w:w="0" w:type="dxa"/>
          <w:left w:w="108" w:type="dxa"/>
          <w:bottom w:w="0" w:type="dxa"/>
          <w:right w:w="108" w:type="dxa"/>
        </w:tblCellMar>
      </w:tblPr>
      <w:tblGrid>
        <w:gridCol w:w="11102"/>
      </w:tblGrid>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Title"/>
              <w:ind w:left="-142" w:right="0" w:hanging="0"/>
              <w:rPr/>
            </w:pPr>
            <w:r>
              <w:rPr/>
              <w:drawing>
                <wp:inline distT="0" distB="0" distL="0" distR="0">
                  <wp:extent cx="7203440" cy="10280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rcRect l="-5" t="-35" r="-5" b="-35"/>
                          <a:stretch>
                            <a:fillRect/>
                          </a:stretch>
                        </pic:blipFill>
                        <pic:spPr bwMode="auto">
                          <a:xfrm>
                            <a:off x="0" y="0"/>
                            <a:ext cx="7203440" cy="1028065"/>
                          </a:xfrm>
                          <a:prstGeom prst="rect">
                            <a:avLst/>
                          </a:prstGeom>
                        </pic:spPr>
                      </pic:pic>
                    </a:graphicData>
                  </a:graphic>
                </wp:inline>
              </w:drawing>
              <mc:AlternateContent>
                <mc:Choice Requires="wps">
                  <w:drawing>
                    <wp:anchor behindDoc="0" distT="0" distB="0" distL="114935" distR="114935" simplePos="0" locked="0" layoutInCell="1" allowOverlap="1" relativeHeight="8">
                      <wp:simplePos x="0" y="0"/>
                      <wp:positionH relativeFrom="column">
                        <wp:posOffset>57785</wp:posOffset>
                      </wp:positionH>
                      <wp:positionV relativeFrom="paragraph">
                        <wp:posOffset>1190625</wp:posOffset>
                      </wp:positionV>
                      <wp:extent cx="1805940" cy="515620"/>
                      <wp:effectExtent l="0" t="0" r="0" b="0"/>
                      <wp:wrapNone/>
                      <wp:docPr id="1" name="Text Box 9"/>
                      <a:graphic xmlns:a="http://schemas.openxmlformats.org/drawingml/2006/main">
                        <a:graphicData uri="http://schemas.microsoft.com/office/word/2010/wordprocessingShape">
                          <wps:wsp>
                            <wps:cNvSpPr/>
                            <wps:spPr>
                              <a:xfrm>
                                <a:off x="0" y="0"/>
                                <a:ext cx="1805400" cy="5151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9" fillcolor="white" stroked="f" style="position:absolute;margin-left:4.55pt;margin-top:93.75pt;width:142.1pt;height:40.5pt">
                      <w10:wrap type="none"/>
                      <v:fill o:detectmouseclick="t" type="solid" color2="black"/>
                      <v:stroke color="#3465a4" joinstyle="round" endcap="flat"/>
                    </v:rect>
                  </w:pict>
                </mc:Fallback>
              </mc:AlternateContent>
            </w:r>
            <w:r>
              <w:rPr>
                <w:rFonts w:eastAsia="Verdana" w:cs="Verdana" w:ascii="Verdana" w:hAnsi="Verdana"/>
                <w:b w:val="false"/>
                <w:sz w:val="24"/>
                <w:u w:val="none"/>
              </w:rPr>
              <w:t xml:space="preserve"> </w:t>
            </w:r>
            <w:r>
              <w:rPr>
                <w:rFonts w:cs="Verdana" w:ascii="Verdana" w:hAnsi="Verdana"/>
                <w:szCs w:val="32"/>
                <w:u w:val="none"/>
              </w:rPr>
              <w:t>Stockport Council</w:t>
            </w:r>
            <w:r>
              <mc:AlternateContent>
                <mc:Choice Requires="wps">
                  <w:drawing>
                    <wp:anchor behindDoc="0" distT="72390" distB="72390" distL="0" distR="0" simplePos="0" locked="0" layoutInCell="1" allowOverlap="1" relativeHeight="9">
                      <wp:simplePos x="0" y="0"/>
                      <wp:positionH relativeFrom="column">
                        <wp:posOffset>57785</wp:posOffset>
                      </wp:positionH>
                      <wp:positionV relativeFrom="paragraph">
                        <wp:posOffset>1190625</wp:posOffset>
                      </wp:positionV>
                      <wp:extent cx="1805305" cy="424180"/>
                      <wp:effectExtent l="0" t="0" r="0" b="0"/>
                      <wp:wrapNone/>
                      <wp:docPr id="3" name="Frame1"/>
                      <a:graphic xmlns:a="http://schemas.openxmlformats.org/drawingml/2006/main">
                        <a:graphicData uri="http://schemas.microsoft.com/office/word/2010/wordprocessingShape">
                          <wps:wsp>
                            <wps:cNvSpPr txBox="1"/>
                            <wps:spPr>
                              <a:xfrm>
                                <a:off x="0" y="0"/>
                                <a:ext cx="1805305" cy="424180"/>
                              </a:xfrm>
                              <a:prstGeom prst="rect"/>
                              <a:solidFill>
                                <a:srgbClr val="FFFFFF"/>
                              </a:solidFill>
                            </wps:spPr>
                            <wps:txbx>
                              <w:txbxContent>
                                <w:p>
                                  <w:pPr>
                                    <w:pStyle w:val="FrameContents"/>
                                    <w:rPr/>
                                  </w:pPr>
                                  <w:r>
                                    <w:rPr/>
                                    <w:drawing>
                                      <wp:inline distT="0" distB="0" distL="0" distR="0">
                                        <wp:extent cx="1617345" cy="33337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0" t="-48" r="-10" b="-48"/>
                                                <a:stretch>
                                                  <a:fillRect/>
                                                </a:stretch>
                                              </pic:blipFill>
                                              <pic:spPr bwMode="auto">
                                                <a:xfrm>
                                                  <a:off x="0" y="0"/>
                                                  <a:ext cx="1617345" cy="3333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42.15pt;height:33.4pt;mso-wrap-distance-left:0pt;mso-wrap-distance-right:0pt;mso-wrap-distance-top:5.7pt;mso-wrap-distance-bottom:5.7pt;margin-top:93.75pt;mso-position-vertical-relative:text;margin-left:4.55pt;mso-position-horizontal-relative:text">
                      <v:textbox inset="0.100694444444444in,0.0506944444444444in,0.100694444444444in,0.0506944444444444in">
                        <w:txbxContent>
                          <w:p>
                            <w:pPr>
                              <w:pStyle w:val="FrameContents"/>
                              <w:rPr/>
                            </w:pPr>
                            <w:r>
                              <w:rPr/>
                              <w:drawing>
                                <wp:inline distT="0" distB="0" distL="0" distR="0">
                                  <wp:extent cx="1617345" cy="33337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0" t="-48" r="-10" b="-48"/>
                                          <a:stretch>
                                            <a:fillRect/>
                                          </a:stretch>
                                        </pic:blipFill>
                                        <pic:spPr bwMode="auto">
                                          <a:xfrm>
                                            <a:off x="0" y="0"/>
                                            <a:ext cx="1617345" cy="333375"/>
                                          </a:xfrm>
                                          <a:prstGeom prst="rect">
                                            <a:avLst/>
                                          </a:prstGeom>
                                        </pic:spPr>
                                      </pic:pic>
                                    </a:graphicData>
                                  </a:graphic>
                                </wp:inline>
                              </w:drawing>
                            </w:r>
                          </w:p>
                        </w:txbxContent>
                      </v:textbox>
                    </v:rect>
                  </w:pict>
                </mc:Fallback>
              </mc:AlternateContent>
            </w:r>
          </w:p>
          <w:p>
            <w:pPr>
              <w:pStyle w:val="Normal"/>
              <w:tabs>
                <w:tab w:val="left" w:pos="720" w:leader="none"/>
                <w:tab w:val="left" w:pos="1440" w:leader="none"/>
                <w:tab w:val="left" w:pos="2160" w:leader="none"/>
                <w:tab w:val="left" w:pos="2880" w:leader="none"/>
                <w:tab w:val="left" w:pos="6570" w:leader="none"/>
              </w:tabs>
              <w:jc w:val="center"/>
              <w:rPr>
                <w:rFonts w:ascii="Verdana" w:hAnsi="Verdana" w:cs="Verdana"/>
                <w:b/>
                <w:b/>
                <w:sz w:val="32"/>
                <w:szCs w:val="32"/>
              </w:rPr>
            </w:pPr>
            <w:r>
              <w:rPr>
                <w:rFonts w:cs="Verdana" w:ascii="Verdana" w:hAnsi="Verdana"/>
                <w:b/>
                <w:sz w:val="32"/>
                <w:szCs w:val="32"/>
              </w:rPr>
              <w:t>Job Description</w:t>
            </w:r>
          </w:p>
          <w:p>
            <w:pPr>
              <w:pStyle w:val="Normal"/>
              <w:tabs>
                <w:tab w:val="left" w:pos="720" w:leader="none"/>
                <w:tab w:val="left" w:pos="1440" w:leader="none"/>
                <w:tab w:val="left" w:pos="2160" w:leader="none"/>
                <w:tab w:val="left" w:pos="2880" w:leader="none"/>
                <w:tab w:val="left" w:pos="6570" w:leader="none"/>
              </w:tabs>
              <w:rPr/>
            </w:pPr>
            <w:r>
              <w:rPr/>
            </w:r>
          </w:p>
        </w:tc>
      </w:tr>
      <w:tr>
        <w:trPr>
          <w:trHeight w:val="1674" w:hRule="atLeast"/>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snapToGrid w:val="false"/>
              <w:rPr>
                <w:rFonts w:ascii="Verdana" w:hAnsi="Verdana" w:cs="Verdana"/>
              </w:rPr>
            </w:pPr>
            <w:r>
              <w:rPr>
                <w:rFonts w:cs="Verdana" w:ascii="Verdana" w:hAnsi="Verdana"/>
              </w:rPr>
            </w:r>
          </w:p>
          <w:p>
            <w:pPr>
              <w:pStyle w:val="Title"/>
              <w:jc w:val="left"/>
              <w:rPr>
                <w:rFonts w:ascii="Verdana" w:hAnsi="Verdana" w:cs="Verdana"/>
                <w:sz w:val="20"/>
                <w:u w:val="none"/>
              </w:rPr>
            </w:pPr>
            <w:r>
              <w:rPr>
                <w:rFonts w:cs="Verdana" w:ascii="Verdana" w:hAnsi="Verdana"/>
                <w:sz w:val="20"/>
                <w:u w:val="none"/>
              </w:rPr>
              <w:t>Job Title:     Deputy Headteacher (Primary)</w:t>
            </w:r>
          </w:p>
          <w:p>
            <w:pPr>
              <w:pStyle w:val="Title"/>
              <w:jc w:val="left"/>
              <w:rPr>
                <w:rFonts w:ascii="Verdana" w:hAnsi="Verdana" w:cs="Verdana"/>
                <w:sz w:val="20"/>
                <w:u w:val="none"/>
              </w:rPr>
            </w:pPr>
            <w:r>
              <w:rPr>
                <w:rFonts w:cs="Verdana" w:ascii="Verdana" w:hAnsi="Verdana"/>
                <w:sz w:val="20"/>
                <w:u w:val="none"/>
              </w:rPr>
              <w:tab/>
              <w:tab/>
              <w:tab/>
            </w:r>
          </w:p>
          <w:p>
            <w:pPr>
              <w:pStyle w:val="Normal"/>
              <w:rPr>
                <w:rFonts w:ascii="Verdana" w:hAnsi="Verdana" w:cs="Verdana"/>
                <w:b/>
                <w:b/>
              </w:rPr>
            </w:pPr>
            <w:r>
              <w:rPr>
                <w:rFonts w:cs="Verdana" w:ascii="Verdana" w:hAnsi="Verdana"/>
                <w:b/>
              </w:rPr>
              <w:t xml:space="preserve">School:       Banks Lane Junior School               </w:t>
            </w:r>
          </w:p>
          <w:p>
            <w:pPr>
              <w:pStyle w:val="Normal"/>
              <w:rPr>
                <w:rFonts w:ascii="Verdana" w:hAnsi="Verdana" w:eastAsia="Verdana" w:cs="Verdana"/>
                <w:b/>
                <w:b/>
                <w:position w:val="0"/>
              </w:rPr>
            </w:pPr>
            <w:r>
              <w:rPr>
                <w:rFonts w:eastAsia="Verdana" w:cs="Verdana" w:ascii="Verdana" w:hAnsi="Verdana"/>
                <w:b/>
                <w:position w:val="0"/>
              </w:rPr>
              <w:t xml:space="preserve">               </w:t>
            </w:r>
          </w:p>
          <w:p>
            <w:pPr>
              <w:pStyle w:val="Title"/>
              <w:jc w:val="left"/>
              <w:rPr>
                <w:rFonts w:ascii="Verdana" w:hAnsi="Verdana" w:cs="Verdana"/>
                <w:sz w:val="20"/>
                <w:u w:val="none"/>
              </w:rPr>
            </w:pPr>
            <w:r>
              <w:rPr>
                <w:rFonts w:cs="Verdana" w:ascii="Verdana" w:hAnsi="Verdana"/>
                <w:sz w:val="20"/>
                <w:u w:val="none"/>
              </w:rPr>
              <w:t>Salary Grade: Leadership Pay Range</w:t>
            </w:r>
          </w:p>
          <w:p>
            <w:pPr>
              <w:pStyle w:val="Normal"/>
              <w:rPr>
                <w:rFonts w:ascii="Verdana" w:hAnsi="Verdana" w:cs="Verdana"/>
              </w:rPr>
            </w:pPr>
            <w:r>
              <w:rPr>
                <w:rFonts w:cs="Verdana" w:ascii="Verdana" w:hAnsi="Verdana"/>
              </w:rPr>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snapToGrid w:val="false"/>
              <w:rPr>
                <w:rFonts w:ascii="Verdana" w:hAnsi="Verdana" w:cs="Verdana"/>
                <w:b/>
                <w:b/>
              </w:rPr>
            </w:pPr>
            <w:r>
              <w:rPr>
                <w:rFonts w:cs="Verdana" w:ascii="Verdana" w:hAnsi="Verdana"/>
                <w:b/>
              </w:rPr>
            </w:r>
          </w:p>
          <w:p>
            <w:pPr>
              <w:pStyle w:val="Normal"/>
              <w:rPr>
                <w:rFonts w:ascii="Verdana" w:hAnsi="Verdana" w:cs="Verdana"/>
                <w:b/>
                <w:b/>
              </w:rPr>
            </w:pPr>
            <w:r>
              <w:rPr>
                <w:rFonts w:cs="Verdana" w:ascii="Verdana" w:hAnsi="Verdana"/>
                <w:b/>
              </w:rPr>
              <w:t xml:space="preserve">Post Reports to:     Headteacher     </w:t>
            </w:r>
          </w:p>
          <w:p>
            <w:pPr>
              <w:pStyle w:val="Normal"/>
              <w:rPr>
                <w:rFonts w:ascii="Verdana" w:hAnsi="Verdana" w:cs="Verdana"/>
                <w:b/>
                <w:b/>
              </w:rPr>
            </w:pPr>
            <w:r>
              <w:rPr>
                <w:rFonts w:cs="Verdana" w:ascii="Verdana" w:hAnsi="Verdana"/>
                <w:b/>
              </w:rPr>
              <w:t>Post Responsible for:   Teachers</w:t>
            </w:r>
          </w:p>
          <w:p>
            <w:pPr>
              <w:pStyle w:val="Normal"/>
              <w:rPr>
                <w:rFonts w:ascii="Verdana" w:hAnsi="Verdana" w:eastAsia="Verdana" w:cs="Verdana"/>
                <w:b/>
                <w:b/>
              </w:rPr>
            </w:pPr>
            <w:r>
              <w:rPr>
                <w:rFonts w:eastAsia="Verdana" w:cs="Verdana" w:ascii="Verdana" w:hAnsi="Verdana"/>
                <w:b/>
              </w:rPr>
              <w:t xml:space="preserve">  </w:t>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jc w:val="both"/>
              <w:rPr/>
            </w:pPr>
            <w:r>
              <w:rPr>
                <w:rFonts w:cs="Verdana" w:ascii="Verdana" w:hAnsi="Verdana"/>
                <w:b/>
              </w:rPr>
              <w:t>Main Purpose of the Job:</w:t>
            </w:r>
            <w:r>
              <w:rPr>
                <w:rFonts w:cs="Verdana" w:ascii="Verdana" w:hAnsi="Verdana"/>
              </w:rPr>
              <w:t xml:space="preserve">  </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To assist the Headteacher with leading and developing the school in seeking to attain high standards of pupil achievement, behaviour, social development and effective and efficient use of resources.</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In partnership with the Headteacher and governors establish and implement an ambitious vision and ethos for the future of the school.</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To evaluate the effectiveness of the school in terms of overall provision, including pupil achievement, attainment and teaching and learning.</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To provide analysed assessment data from a variety of sources to inform future whole school planning and resourcing.</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In partnership with the Headteacher, lead by example when implementing and managing change initiatives.</w:t>
            </w:r>
          </w:p>
          <w:p>
            <w:pPr>
              <w:pStyle w:val="Normal"/>
              <w:jc w:val="both"/>
              <w:rPr>
                <w:rFonts w:ascii="Verdana" w:hAnsi="Verdana" w:cs="Verdana"/>
              </w:rPr>
            </w:pPr>
            <w:r>
              <w:rPr>
                <w:rFonts w:cs="Verdana" w:ascii="Verdana" w:hAnsi="Verdana"/>
              </w:rPr>
            </w:r>
          </w:p>
          <w:p>
            <w:pPr>
              <w:pStyle w:val="Default"/>
              <w:jc w:val="both"/>
              <w:rPr>
                <w:rFonts w:ascii="Verdana" w:hAnsi="Verdana" w:cs="Verdana"/>
                <w:sz w:val="20"/>
                <w:szCs w:val="20"/>
              </w:rPr>
            </w:pPr>
            <w:r>
              <w:rPr>
                <w:rFonts w:cs="Verdana" w:ascii="Verdana" w:hAnsi="Verdana"/>
                <w:sz w:val="20"/>
                <w:szCs w:val="20"/>
              </w:rPr>
              <w:t>To make the education of your pupils your first concern, be accountable for achieving the highest possible standards in work and conduct. Act with honesty and integrity; have strong subject knowledge, keep your knowledge and skills as a teacher up-to-date and are self-critical; forge positive professional relationships; and work with parents in the best interests of your pupils.</w:t>
            </w:r>
          </w:p>
          <w:p>
            <w:pPr>
              <w:pStyle w:val="Default"/>
              <w:jc w:val="both"/>
              <w:rPr>
                <w:rFonts w:ascii="Verdana" w:hAnsi="Verdana" w:cs="Verdana"/>
                <w:sz w:val="20"/>
                <w:szCs w:val="20"/>
              </w:rPr>
            </w:pPr>
            <w:r>
              <w:rPr>
                <w:rFonts w:cs="Verdana" w:ascii="Verdana" w:hAnsi="Verdana"/>
                <w:sz w:val="20"/>
                <w:szCs w:val="20"/>
              </w:rPr>
            </w:r>
          </w:p>
          <w:p>
            <w:pPr>
              <w:pStyle w:val="Default"/>
              <w:jc w:val="both"/>
              <w:rPr>
                <w:rFonts w:ascii="Verdana" w:hAnsi="Verdana" w:cs="Verdana"/>
                <w:sz w:val="20"/>
                <w:szCs w:val="20"/>
              </w:rPr>
            </w:pPr>
            <w:r>
              <w:rPr>
                <w:rFonts w:cs="Verdana" w:ascii="Verdana" w:hAnsi="Verdana"/>
                <w:sz w:val="20"/>
                <w:szCs w:val="20"/>
              </w:rPr>
              <w:t xml:space="preserve">To have overall responsibility for continued delivery of high quality teaching and learning for which you will be accountable for. You will lead, manage, monitor and develop a subject or curriculum area; or lead and manage pupil development across the curriculum ensuring curriculum continuity, consistency, balance, match and progression within the school. </w:t>
            </w:r>
          </w:p>
          <w:p>
            <w:pPr>
              <w:pStyle w:val="Default"/>
              <w:jc w:val="both"/>
              <w:rPr>
                <w:rFonts w:ascii="Verdana" w:hAnsi="Verdana" w:cs="Verdana"/>
                <w:sz w:val="20"/>
                <w:szCs w:val="20"/>
              </w:rPr>
            </w:pPr>
            <w:r>
              <w:rPr>
                <w:rFonts w:cs="Verdana" w:ascii="Verdana" w:hAnsi="Verdana"/>
                <w:sz w:val="20"/>
                <w:szCs w:val="20"/>
              </w:rPr>
            </w:r>
          </w:p>
          <w:p>
            <w:pPr>
              <w:pStyle w:val="Default"/>
              <w:jc w:val="both"/>
              <w:rPr>
                <w:rFonts w:ascii="Verdana" w:hAnsi="Verdana" w:cs="Verdana"/>
                <w:sz w:val="20"/>
                <w:szCs w:val="20"/>
              </w:rPr>
            </w:pPr>
            <w:r>
              <w:rPr>
                <w:rFonts w:cs="Verdana" w:ascii="Verdana" w:hAnsi="Verdana"/>
                <w:sz w:val="20"/>
                <w:szCs w:val="20"/>
              </w:rPr>
              <w:t>To manage and develop the teaching practice of other staff, monitoring progress towards their achievement.</w:t>
            </w:r>
          </w:p>
          <w:p>
            <w:pPr>
              <w:pStyle w:val="Default"/>
              <w:jc w:val="both"/>
              <w:rPr>
                <w:rFonts w:ascii="Verdana" w:hAnsi="Verdana" w:cs="Verdana"/>
                <w:sz w:val="20"/>
                <w:szCs w:val="20"/>
              </w:rPr>
            </w:pPr>
            <w:r>
              <w:rPr>
                <w:rFonts w:cs="Verdana" w:ascii="Verdana" w:hAnsi="Verdana"/>
                <w:sz w:val="20"/>
                <w:szCs w:val="20"/>
              </w:rPr>
            </w:r>
          </w:p>
          <w:p>
            <w:pPr>
              <w:pStyle w:val="Default"/>
              <w:spacing w:before="0" w:after="221"/>
              <w:jc w:val="both"/>
              <w:rPr>
                <w:rFonts w:ascii="Verdana" w:hAnsi="Verdana" w:cs="Verdana"/>
                <w:sz w:val="20"/>
                <w:szCs w:val="20"/>
              </w:rPr>
            </w:pPr>
            <w:r>
              <w:rPr>
                <w:rFonts w:cs="Verdana" w:ascii="Verdana" w:hAnsi="Verdana"/>
                <w:sz w:val="20"/>
                <w:szCs w:val="20"/>
              </w:rPr>
              <w:t xml:space="preserve">Contribute to the development, implementation and evaluation of the school’s policies, practices and procedures in such a way as to support the school’s values and vision. </w:t>
            </w:r>
          </w:p>
          <w:p>
            <w:pPr>
              <w:pStyle w:val="Default"/>
              <w:spacing w:before="0" w:after="221"/>
              <w:jc w:val="both"/>
              <w:rPr>
                <w:rFonts w:ascii="Verdana" w:hAnsi="Verdana" w:cs="Verdana"/>
                <w:sz w:val="20"/>
                <w:szCs w:val="20"/>
              </w:rPr>
            </w:pPr>
            <w:r>
              <w:rPr>
                <w:rFonts w:cs="Verdana" w:ascii="Verdana" w:hAnsi="Verdana"/>
                <w:sz w:val="20"/>
                <w:szCs w:val="20"/>
              </w:rPr>
              <w:t xml:space="preserve">Work with others on curriculum and/or pupil development to secure co-ordinated outcomes. </w:t>
            </w:r>
          </w:p>
          <w:p>
            <w:pPr>
              <w:pStyle w:val="Default"/>
              <w:spacing w:before="0" w:after="221"/>
              <w:jc w:val="both"/>
              <w:rPr>
                <w:rFonts w:ascii="Verdana" w:hAnsi="Verdana" w:cs="Verdana"/>
                <w:sz w:val="20"/>
                <w:szCs w:val="20"/>
              </w:rPr>
            </w:pPr>
            <w:r>
              <w:rPr>
                <w:rFonts w:cs="Verdana" w:ascii="Verdana" w:hAnsi="Verdana"/>
                <w:sz w:val="20"/>
                <w:szCs w:val="20"/>
              </w:rPr>
              <w:t xml:space="preserve">If the Headteacher is absent from the school you will undertake the professional duties to the extent required by the Headteacher. </w:t>
            </w:r>
          </w:p>
          <w:p>
            <w:pPr>
              <w:pStyle w:val="Default"/>
              <w:spacing w:before="0" w:after="221"/>
              <w:jc w:val="both"/>
              <w:rPr>
                <w:rFonts w:ascii="Verdana" w:hAnsi="Verdana" w:cs="Verdana"/>
                <w:sz w:val="20"/>
                <w:szCs w:val="20"/>
              </w:rPr>
            </w:pPr>
            <w:r>
              <w:rPr>
                <w:rFonts w:cs="Verdana" w:ascii="Verdana" w:hAnsi="Verdana"/>
                <w:sz w:val="20"/>
                <w:szCs w:val="20"/>
              </w:rPr>
              <w:t>Take responsibility for child protection issues as appropriate.</w:t>
            </w:r>
          </w:p>
        </w:tc>
      </w:tr>
      <w:tr>
        <w:trPr>
          <w:trHeight w:val="1650" w:hRule="atLeast"/>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before="120" w:after="120"/>
              <w:rPr>
                <w:rFonts w:ascii="Verdana" w:hAnsi="Verdana" w:cs="Verdana"/>
                <w:b/>
                <w:b/>
              </w:rPr>
            </w:pPr>
            <w:r>
              <w:rPr>
                <w:rFonts w:cs="Verdana" w:ascii="Verdana" w:hAnsi="Verdana"/>
                <w:b/>
              </w:rPr>
              <w:t>Job activities: Summary of Responsibility and Key Areas:</w:t>
            </w:r>
          </w:p>
          <w:p>
            <w:pPr>
              <w:pStyle w:val="Default"/>
              <w:spacing w:before="120" w:after="120"/>
              <w:rPr>
                <w:rFonts w:ascii="Verdana" w:hAnsi="Verdana" w:cs="Verdana"/>
                <w:b/>
                <w:b/>
                <w:bCs/>
                <w:sz w:val="20"/>
                <w:szCs w:val="20"/>
              </w:rPr>
            </w:pPr>
            <w:r>
              <w:rPr>
                <w:rFonts w:cs="Verdana" w:ascii="Verdana" w:hAnsi="Verdana"/>
                <w:b/>
                <w:bCs/>
                <w:sz w:val="20"/>
                <w:szCs w:val="20"/>
              </w:rPr>
              <w:t xml:space="preserve">1.Set high expectations which inspire, motivate and challenge pupils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establish a safe and stimulating environment for pupils, rooted in mutual respect;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set goals that stretch and challenge pupils of all backgrounds, abilities and dispositions;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demonstrate consistently the positive attitudes, values and behaviour which are expected of pupils. </w:t>
            </w:r>
          </w:p>
          <w:p>
            <w:pPr>
              <w:pStyle w:val="Default"/>
              <w:spacing w:before="120" w:after="120"/>
              <w:ind w:left="188" w:right="0" w:hanging="142"/>
              <w:rPr>
                <w:rFonts w:ascii="Verdana" w:hAnsi="Verdana" w:cs="Verdana"/>
                <w:b/>
                <w:b/>
                <w:bCs/>
                <w:sz w:val="20"/>
                <w:szCs w:val="20"/>
              </w:rPr>
            </w:pPr>
            <w:r>
              <w:rPr>
                <w:rFonts w:cs="Verdana" w:ascii="Verdana" w:hAnsi="Verdana"/>
                <w:b/>
                <w:bCs/>
                <w:sz w:val="20"/>
                <w:szCs w:val="20"/>
              </w:rPr>
              <w:t xml:space="preserve">2. Promote good progress and outcomes by pupils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be accountable for pupils’ attainment, progress and outcomes;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be aware of pupils’ capabilities and their prior knowledge, and plan teaching to build on these;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guide pupils to reflect on the progress they have made and their emerging needs;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demonstrate knowledge and understanding of how pupils learn and how this impacts on teaching; </w:t>
            </w:r>
          </w:p>
          <w:p>
            <w:pPr>
              <w:pStyle w:val="Default"/>
              <w:spacing w:before="0" w:after="105"/>
              <w:ind w:left="188" w:right="0" w:hanging="142"/>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encourage pupils to take a responsible and conscientious attitude to their own work and study. </w:t>
            </w:r>
          </w:p>
          <w:p>
            <w:pPr>
              <w:pStyle w:val="Default"/>
              <w:spacing w:before="120" w:after="120"/>
              <w:ind w:left="188" w:right="0" w:hanging="142"/>
              <w:rPr>
                <w:rFonts w:ascii="Verdana" w:hAnsi="Verdana" w:cs="Verdana"/>
                <w:b/>
                <w:b/>
                <w:bCs/>
                <w:sz w:val="20"/>
                <w:szCs w:val="20"/>
              </w:rPr>
            </w:pPr>
            <w:r>
              <w:rPr>
                <w:rFonts w:cs="Verdana" w:ascii="Verdana" w:hAnsi="Verdana"/>
                <w:b/>
                <w:bCs/>
                <w:sz w:val="20"/>
                <w:szCs w:val="20"/>
              </w:rPr>
              <w:t xml:space="preserve">3. Demonstrate good subject and curriculum knowledge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have a secure knowledge of the relevant subject(s) and curriculum areas, foster and maintain pupils’ interest in the subject, and address misunderstandings;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demonstrate a critical understanding of developments in the subject and curriculum areas, and promote the value of scholarship;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demonstrate an understanding of and take responsibility for promoting high standards of literacy, articulacy, oracy</w:t>
            </w:r>
            <w:bookmarkStart w:id="0" w:name="_GoBack"/>
            <w:bookmarkEnd w:id="0"/>
            <w:r>
              <w:rPr>
                <w:rFonts w:cs="Verdana" w:ascii="Verdana" w:hAnsi="Verdana"/>
                <w:sz w:val="20"/>
                <w:szCs w:val="20"/>
              </w:rPr>
              <w:t xml:space="preserve"> and the correct use of standard English, whatever the teacher’s specialist subject;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if teaching early reading, demonstrate a clear understanding of systematic synthetic phonics;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if teaching early mathematics, demonstrate a clear understanding of appropriate teaching strategies. </w:t>
            </w:r>
          </w:p>
          <w:p>
            <w:pPr>
              <w:pStyle w:val="Default"/>
              <w:spacing w:before="120" w:after="120"/>
              <w:ind w:left="188" w:right="0" w:hanging="142"/>
              <w:jc w:val="both"/>
              <w:rPr>
                <w:rFonts w:ascii="Verdana" w:hAnsi="Verdana" w:cs="Verdana"/>
                <w:b/>
                <w:b/>
                <w:bCs/>
                <w:sz w:val="20"/>
                <w:szCs w:val="20"/>
              </w:rPr>
            </w:pPr>
            <w:r>
              <w:rPr>
                <w:rFonts w:cs="Verdana" w:ascii="Verdana" w:hAnsi="Verdana"/>
                <w:b/>
                <w:bCs/>
                <w:sz w:val="20"/>
                <w:szCs w:val="20"/>
              </w:rPr>
              <w:t xml:space="preserve">4. Plan and teach well-structured lessons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impart knowledge and develop understanding through effective use of lesson time;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promote a love of learning and children’s intellectual curiosity;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set homework and plan other out-of-class activities to consolidate and extend the knowledge and understanding pupils have acquired;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reflect systematically on the effectiveness of lessons and approaches to teaching;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contribute to the design and provision of an engaging curriculum within the relevant subject area(s). </w:t>
            </w:r>
          </w:p>
          <w:p>
            <w:pPr>
              <w:pStyle w:val="Default"/>
              <w:spacing w:before="120" w:after="120"/>
              <w:ind w:left="188" w:right="0" w:hanging="142"/>
              <w:jc w:val="both"/>
              <w:rPr>
                <w:rFonts w:ascii="Verdana" w:hAnsi="Verdana" w:cs="Verdana"/>
                <w:b/>
                <w:b/>
                <w:bCs/>
                <w:sz w:val="20"/>
                <w:szCs w:val="20"/>
              </w:rPr>
            </w:pPr>
            <w:r>
              <w:rPr>
                <w:rFonts w:cs="Verdana" w:ascii="Verdana" w:hAnsi="Verdana"/>
                <w:b/>
                <w:bCs/>
                <w:sz w:val="20"/>
                <w:szCs w:val="20"/>
              </w:rPr>
              <w:t xml:space="preserve">5. Adapt teaching to respond to the strengths and needs of all pupils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know when and how to differentiate appropriately, using approaches which enable pupils to be taught effectively;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have a secure understanding of how a range of factors can inhibit pupils’ ability to learn, and how best to overcome these; </w:t>
            </w:r>
          </w:p>
          <w:p>
            <w:pPr>
              <w:pStyle w:val="Default"/>
              <w:spacing w:before="0" w:after="11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demonstrate an awareness of the physical, social and intellectual development of children, and know how to adapt teaching to support pupils’ education at different stages of development;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pPr>
              <w:pStyle w:val="Default"/>
              <w:spacing w:before="120" w:after="120"/>
              <w:ind w:left="188" w:right="0" w:hanging="142"/>
              <w:jc w:val="both"/>
              <w:rPr>
                <w:rFonts w:ascii="Verdana" w:hAnsi="Verdana" w:cs="Verdana"/>
                <w:b/>
                <w:b/>
                <w:bCs/>
                <w:sz w:val="20"/>
                <w:szCs w:val="20"/>
              </w:rPr>
            </w:pPr>
            <w:r>
              <w:rPr>
                <w:rFonts w:cs="Verdana" w:ascii="Verdana" w:hAnsi="Verdana"/>
                <w:b/>
                <w:bCs/>
                <w:sz w:val="20"/>
                <w:szCs w:val="20"/>
              </w:rPr>
              <w:t xml:space="preserve">6. Make accurate and productive use of assessment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know and understand how to assess the relevant subject and curriculum areas, including statutory assessment requirements; </w:t>
            </w:r>
          </w:p>
          <w:p>
            <w:pPr>
              <w:pStyle w:val="Default"/>
              <w:spacing w:before="0" w:after="118"/>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make use of formative and summative assessment to secure pupils’ progress; </w:t>
            </w:r>
          </w:p>
          <w:p>
            <w:pPr>
              <w:pStyle w:val="Default"/>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use relevant data to monitor progress, set targets, and plan subsequent lessons;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give pupils regular feedback, both orally and through accurate marking, and encourage pupils to respond to the feedback. </w:t>
            </w:r>
          </w:p>
          <w:p>
            <w:pPr>
              <w:pStyle w:val="Default"/>
              <w:spacing w:before="120" w:after="120"/>
              <w:ind w:left="188" w:right="0" w:hanging="142"/>
              <w:jc w:val="both"/>
              <w:rPr>
                <w:rFonts w:ascii="Verdana" w:hAnsi="Verdana" w:cs="Verdana"/>
                <w:b/>
                <w:b/>
                <w:bCs/>
                <w:sz w:val="20"/>
                <w:szCs w:val="20"/>
              </w:rPr>
            </w:pPr>
            <w:r>
              <w:rPr>
                <w:rFonts w:cs="Verdana" w:ascii="Verdana" w:hAnsi="Verdana"/>
                <w:b/>
                <w:bCs/>
                <w:sz w:val="20"/>
                <w:szCs w:val="20"/>
              </w:rPr>
            </w:r>
          </w:p>
          <w:p>
            <w:pPr>
              <w:pStyle w:val="Default"/>
              <w:spacing w:before="120" w:after="120"/>
              <w:ind w:left="188" w:right="0" w:hanging="142"/>
              <w:rPr>
                <w:rFonts w:ascii="Verdana" w:hAnsi="Verdana" w:cs="Verdana"/>
                <w:b/>
                <w:b/>
                <w:bCs/>
                <w:sz w:val="20"/>
                <w:szCs w:val="20"/>
              </w:rPr>
            </w:pPr>
            <w:r>
              <w:rPr>
                <w:rFonts w:cs="Verdana" w:ascii="Verdana" w:hAnsi="Verdana"/>
                <w:b/>
                <w:bCs/>
                <w:sz w:val="20"/>
                <w:szCs w:val="20"/>
              </w:rPr>
              <w:t xml:space="preserve">7. Manage behaviour effectively to ensure a good and safe learning environment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have clear rules and routines for behaviour in classrooms, and take responsibility for promoting good and courteous behaviour both in classrooms and around the school, in accordance with the school’s behaviour policy;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have high expectations of behaviour, and establish a framework for discipline with a range of strategies, using praise, sanctions and rewards consistently and fairly;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manage classes effectively, using approaches which are appropriate to pupils’ needs in order to involve and motivate them;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maintain good relationships with pupils, exercise appropriate authority, and act decisively when necessary. </w:t>
            </w:r>
          </w:p>
          <w:p>
            <w:pPr>
              <w:pStyle w:val="Default"/>
              <w:spacing w:before="120" w:after="120"/>
              <w:ind w:left="188" w:right="0" w:hanging="142"/>
              <w:jc w:val="both"/>
              <w:rPr>
                <w:rFonts w:ascii="Verdana" w:hAnsi="Verdana" w:cs="Verdana"/>
                <w:b/>
                <w:b/>
                <w:sz w:val="20"/>
                <w:szCs w:val="20"/>
              </w:rPr>
            </w:pPr>
            <w:r>
              <w:rPr>
                <w:rFonts w:cs="Verdana" w:ascii="Verdana" w:hAnsi="Verdana"/>
                <w:b/>
                <w:sz w:val="20"/>
                <w:szCs w:val="20"/>
              </w:rPr>
              <w:t>8. Designated Safeguarding Lead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Refer cases of suspected abuse to the local authority Children’s Social Care as required;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Manage referrals;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Support staff who make referrals to local authority children’s social care;</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Refer cases to the Channel programme where there is a radicalisation concern as required;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Support staff who make a referral to the Channel programme;</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Refer cases where a person is dismissed or left due to risk/ harm to a child to the  Disclosure and Barring Service as required; and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Refer cases where a crime may have been committed to the Police as required.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Understand the assessment process for providing early help and intervention, for example through locally agreed common and shared assessment processes such as early help assessments;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Have a working knowledge of how local authorities conduct a child protection case conference and a child protection review conference and be able to attend and contribute to these effectively when required to do so;</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Ensure each member of staff has access to and understands the school’s child protection policy and procedures, especially new and part time staff;</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Be alert to the specific needs of children in need, those with special educational needs and young carers;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Be able to keep detailed, accurate, secure written records of concerns and referrals;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Understand and support the school or college with regards to the requirements of the Prevent duty and are able to provide advice and support to staff on protecting children from the risk of radicalisation;</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Obtain access to resources and attend any relevant or refresher training courses; and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Encourage a culture of listening to children and taking account of their wishes and feelings, among all staff, in any measures the school or college may put in place to protect them.</w:t>
            </w:r>
          </w:p>
          <w:p>
            <w:pPr>
              <w:pStyle w:val="Default"/>
              <w:spacing w:before="0" w:after="100"/>
              <w:ind w:left="188" w:right="0" w:hanging="142"/>
              <w:jc w:val="both"/>
              <w:rPr/>
            </w:pPr>
            <w:r>
              <w:rPr>
                <w:rFonts w:cs="Symbol" w:ascii="Symbol" w:hAnsi="Symbol"/>
                <w:color w:val="222222"/>
                <w:sz w:val="20"/>
                <w:szCs w:val="20"/>
                <w:shd w:fill="FFFFFF" w:val="clear"/>
              </w:rPr>
              <w:t></w:t>
            </w:r>
            <w:r>
              <w:rPr>
                <w:color w:val="222222"/>
                <w:sz w:val="14"/>
                <w:szCs w:val="14"/>
                <w:shd w:fill="FFFFFF" w:val="clear"/>
              </w:rPr>
              <w:t> </w:t>
            </w:r>
            <w:r>
              <w:rPr>
                <w:rFonts w:cs="Verdana" w:ascii="Verdana" w:hAnsi="Verdana"/>
                <w:color w:val="222222"/>
                <w:sz w:val="20"/>
                <w:szCs w:val="20"/>
                <w:shd w:fill="FFFFFF" w:val="clear"/>
              </w:rPr>
              <w:t>Have an understanding of the filtering and monitoring systems in place in school;</w:t>
            </w:r>
          </w:p>
          <w:p>
            <w:pPr>
              <w:pStyle w:val="Default"/>
              <w:spacing w:before="60" w:after="60"/>
              <w:ind w:left="188" w:right="0" w:hanging="142"/>
              <w:jc w:val="both"/>
              <w:rPr>
                <w:rFonts w:ascii="Verdana" w:hAnsi="Verdana" w:cs="Verdana"/>
                <w:sz w:val="20"/>
                <w:szCs w:val="20"/>
                <w:u w:val="single"/>
              </w:rPr>
            </w:pPr>
            <w:r>
              <w:rPr>
                <w:rFonts w:cs="Verdana" w:ascii="Verdana" w:hAnsi="Verdana"/>
                <w:sz w:val="20"/>
                <w:szCs w:val="20"/>
                <w:u w:val="single"/>
              </w:rPr>
              <w:t>Work with others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Liaise with the headteacher to inform him of issues especially on-going enquiries under section 47 of the Children Act 1989 and police investigations;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 xml:space="preserve">As required, liaise with the case manager and designated officers at the local authority (also known as local authority designated officer/LADO) for child protection concerns (all cases which concern a staff member); and </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Liaise with staff on matters of safety and safeguarding and when deciding whether to make a referral by liaising with relevant agencies.  Act as a source of support, advice and expertise for staff.</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Liaise with DSO and delegate when appropriate.</w:t>
            </w:r>
          </w:p>
          <w:p>
            <w:pPr>
              <w:pStyle w:val="Default"/>
              <w:spacing w:before="60" w:after="60"/>
              <w:ind w:left="188" w:right="0" w:hanging="142"/>
              <w:jc w:val="both"/>
              <w:rPr>
                <w:rFonts w:ascii="Verdana" w:hAnsi="Verdana" w:cs="Verdana"/>
                <w:sz w:val="20"/>
                <w:szCs w:val="20"/>
                <w:u w:val="single"/>
              </w:rPr>
            </w:pPr>
            <w:r>
              <w:rPr>
                <w:rFonts w:cs="Verdana" w:ascii="Verdana" w:hAnsi="Verdana"/>
                <w:sz w:val="20"/>
                <w:szCs w:val="20"/>
                <w:u w:val="single"/>
              </w:rPr>
              <w:t>Raise awareness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The designated safeguarding lead should ensure the school’s policies are known, understood and used appropriately;</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Ensure the school’s child protection policy is reviewed annually (as a minimum) and the procedures and implementation are updated and reviewed regularly, and work with the governing board regarding this;</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Ensure the child protection policy is available publicly and parents are aware of the fact that referrals about suspected abuse or neglect may be made and the role of the school in this; and</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Link with the local LSCB to make sure staff are aware of training opportunities and the latest local policies on safeguarding.</w:t>
            </w:r>
          </w:p>
          <w:p>
            <w:pPr>
              <w:pStyle w:val="Default"/>
              <w:spacing w:before="60" w:after="60"/>
              <w:ind w:left="188" w:right="0" w:hanging="142"/>
              <w:jc w:val="both"/>
              <w:rPr>
                <w:rFonts w:ascii="Verdana" w:hAnsi="Verdana" w:cs="Verdana"/>
                <w:sz w:val="20"/>
                <w:szCs w:val="20"/>
                <w:u w:val="single"/>
              </w:rPr>
            </w:pPr>
            <w:r>
              <w:rPr>
                <w:rFonts w:cs="Verdana" w:ascii="Verdana" w:hAnsi="Verdana"/>
                <w:sz w:val="20"/>
                <w:szCs w:val="20"/>
                <w:u w:val="single"/>
              </w:rPr>
              <w:t xml:space="preserve">Child protection file </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Where children leave the school ensure their child protection file is transferred to the new school as soon as possible. This should be transferred separately from the main pupil file, ensuring secure transit and confirmation of receipt should be obtained.</w:t>
            </w:r>
          </w:p>
          <w:p>
            <w:pPr>
              <w:pStyle w:val="Default"/>
              <w:spacing w:before="60" w:after="60"/>
              <w:ind w:left="188" w:right="0" w:hanging="142"/>
              <w:jc w:val="both"/>
              <w:rPr>
                <w:rFonts w:ascii="Verdana" w:hAnsi="Verdana" w:cs="Verdana"/>
                <w:sz w:val="20"/>
                <w:szCs w:val="20"/>
                <w:u w:val="single"/>
              </w:rPr>
            </w:pPr>
            <w:r>
              <w:rPr>
                <w:rFonts w:cs="Verdana" w:ascii="Verdana" w:hAnsi="Verdana"/>
                <w:sz w:val="20"/>
                <w:szCs w:val="20"/>
                <w:u w:val="single"/>
              </w:rPr>
              <w:t xml:space="preserve">Availability </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During term time the designated safeguarding lead (or a deputy) should always be available (during school hours) for staff in the school to discuss any safeguarding concerns. Whilst generally speaking the designated safeguarding lead (or deputy) would be expected to be available in person, it is a matter for individual schools, working with their designated safeguarding lead to define what “available” means and whether in exceptional circumstances availability via phone and/or Skype or other such medium is acceptable.</w:t>
            </w:r>
          </w:p>
          <w:p>
            <w:pPr>
              <w:pStyle w:val="Default"/>
              <w:spacing w:before="0" w:after="100"/>
              <w:ind w:left="188" w:right="0" w:hanging="142"/>
              <w:jc w:val="both"/>
              <w:rPr/>
            </w:pPr>
            <w:r>
              <w:rPr>
                <w:rFonts w:cs="Verdana" w:ascii="Verdana" w:hAnsi="Verdana"/>
                <w:sz w:val="20"/>
                <w:szCs w:val="20"/>
              </w:rPr>
              <w:t>•</w:t>
            </w:r>
            <w:r>
              <w:rPr>
                <w:rFonts w:cs="Verdana" w:ascii="Verdana" w:hAnsi="Verdana"/>
                <w:sz w:val="20"/>
                <w:szCs w:val="20"/>
              </w:rPr>
              <w:t xml:space="preserve">It is matter for individual schools and the designated safeguarding lead to arrange adequate and appropriate cover arrangements for any out of hours/out of term activities. </w:t>
            </w:r>
          </w:p>
          <w:p>
            <w:pPr>
              <w:pStyle w:val="Default"/>
              <w:spacing w:before="60" w:after="60"/>
              <w:ind w:left="188" w:right="0" w:hanging="142"/>
              <w:jc w:val="both"/>
              <w:rPr>
                <w:rFonts w:ascii="Verdana" w:hAnsi="Verdana" w:cs="Verdana"/>
                <w:sz w:val="20"/>
                <w:szCs w:val="20"/>
                <w:u w:val="single"/>
              </w:rPr>
            </w:pPr>
            <w:r>
              <w:rPr>
                <w:rFonts w:cs="Verdana" w:ascii="Verdana" w:hAnsi="Verdana"/>
                <w:sz w:val="20"/>
                <w:szCs w:val="20"/>
                <w:u w:val="single"/>
              </w:rPr>
              <w:t>Undertake training</w:t>
            </w:r>
          </w:p>
          <w:p>
            <w:pPr>
              <w:pStyle w:val="Default"/>
              <w:spacing w:before="0" w:after="100"/>
              <w:ind w:left="188" w:right="0" w:hanging="0"/>
              <w:jc w:val="both"/>
              <w:rPr>
                <w:rFonts w:ascii="Verdana" w:hAnsi="Verdana" w:cs="Verdana"/>
                <w:sz w:val="20"/>
                <w:szCs w:val="20"/>
              </w:rPr>
            </w:pPr>
            <w:r>
              <w:rPr>
                <w:rFonts w:cs="Verdana" w:ascii="Verdana" w:hAnsi="Verdana"/>
                <w:sz w:val="20"/>
                <w:szCs w:val="20"/>
              </w:rPr>
              <w:t xml:space="preserve">The Designated Safeguarding Lead (and any deputies) will undergo training to provide them with the knowledge and skills required to carry out the role. This training will be updated every two years. </w:t>
            </w:r>
          </w:p>
          <w:p>
            <w:pPr>
              <w:pStyle w:val="Default"/>
              <w:spacing w:before="0" w:after="100"/>
              <w:ind w:left="188" w:right="0" w:hanging="0"/>
              <w:jc w:val="both"/>
              <w:rPr>
                <w:rFonts w:ascii="Verdana" w:hAnsi="Verdana" w:cs="Verdana"/>
                <w:sz w:val="20"/>
                <w:szCs w:val="20"/>
              </w:rPr>
            </w:pPr>
            <w:r>
              <w:rPr>
                <w:rFonts w:cs="Verdana" w:ascii="Verdana" w:hAnsi="Verdana"/>
                <w:sz w:val="20"/>
                <w:szCs w:val="20"/>
              </w:rPr>
              <w:t>The designated safeguarding lead will undertake Prevent awareness training.</w:t>
            </w:r>
          </w:p>
          <w:p>
            <w:pPr>
              <w:pStyle w:val="Default"/>
              <w:spacing w:before="0" w:after="100"/>
              <w:ind w:left="188" w:right="0" w:hanging="0"/>
              <w:jc w:val="both"/>
              <w:rPr>
                <w:rFonts w:ascii="Verdana" w:hAnsi="Verdana" w:cs="Verdana"/>
                <w:sz w:val="20"/>
                <w:szCs w:val="20"/>
              </w:rPr>
            </w:pPr>
            <w:r>
              <w:rPr>
                <w:rFonts w:cs="Verdana" w:ascii="Verdana" w:hAnsi="Verdana"/>
                <w:sz w:val="20"/>
                <w:szCs w:val="20"/>
              </w:rPr>
              <w:t>In addition to the formal training set out above, their knowledge and skills will be refreshed (this might be via e-bulletins, meeting other designated leads, or simply taking time to read and digest safeguarding developments) at regular intervals, as required, but at least annually, to allow them to understand and keep up with any developments relevant to their role so they:</w:t>
            </w:r>
          </w:p>
          <w:p>
            <w:pPr>
              <w:pStyle w:val="Default"/>
              <w:spacing w:before="120" w:after="120"/>
              <w:ind w:left="188" w:right="0" w:hanging="142"/>
              <w:jc w:val="both"/>
              <w:rPr>
                <w:rFonts w:ascii="Verdana" w:hAnsi="Verdana" w:cs="Verdana"/>
                <w:b/>
                <w:b/>
                <w:bCs/>
                <w:sz w:val="20"/>
                <w:szCs w:val="20"/>
              </w:rPr>
            </w:pPr>
            <w:r>
              <w:rPr>
                <w:rFonts w:cs="Verdana" w:ascii="Verdana" w:hAnsi="Verdana"/>
                <w:b/>
                <w:bCs/>
                <w:sz w:val="20"/>
                <w:szCs w:val="20"/>
              </w:rPr>
              <w:t xml:space="preserve">9. Fulfil wider professional responsibilities </w:t>
            </w:r>
          </w:p>
          <w:p>
            <w:pPr>
              <w:pStyle w:val="Default"/>
              <w:ind w:left="46" w:right="0" w:hanging="0"/>
              <w:jc w:val="both"/>
              <w:rPr>
                <w:rFonts w:ascii="Verdana" w:hAnsi="Verdana" w:cs="Verdana"/>
                <w:sz w:val="20"/>
                <w:szCs w:val="20"/>
              </w:rPr>
            </w:pPr>
            <w:r>
              <w:rPr>
                <w:rFonts w:cs="Verdana" w:ascii="Verdana" w:hAnsi="Verdana"/>
                <w:sz w:val="20"/>
                <w:szCs w:val="20"/>
              </w:rPr>
              <w:t xml:space="preserve">As a Deputy Headteacher you should lead and support the staff and governing board in fulfilling their responsibilities with regards to the schools performance and standards. </w:t>
            </w:r>
          </w:p>
          <w:p>
            <w:pPr>
              <w:pStyle w:val="Default"/>
              <w:ind w:left="188" w:right="0" w:hanging="142"/>
              <w:jc w:val="both"/>
              <w:rPr>
                <w:rFonts w:ascii="Verdana" w:hAnsi="Verdana" w:cs="Verdana"/>
                <w:sz w:val="20"/>
                <w:szCs w:val="20"/>
              </w:rPr>
            </w:pPr>
            <w:r>
              <w:rPr>
                <w:rFonts w:cs="Verdana" w:ascii="Verdana" w:hAnsi="Verdana"/>
                <w:sz w:val="20"/>
                <w:szCs w:val="20"/>
              </w:rPr>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make a positive contribution to the wider life and ethos of the school;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develop effective professional relationships with colleagues, knowing how and when to draw on advice and specialist support;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deploy support staff effectively; </w:t>
            </w:r>
          </w:p>
          <w:p>
            <w:pPr>
              <w:pStyle w:val="Default"/>
              <w:spacing w:before="0" w:after="100"/>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 xml:space="preserve">take responsibility for improving teaching through appropriate professional development, responding to advice and feedback from colleagues; </w:t>
            </w:r>
          </w:p>
          <w:p>
            <w:pPr>
              <w:pStyle w:val="Default"/>
              <w:ind w:left="188" w:right="0" w:hanging="142"/>
              <w:jc w:val="both"/>
              <w:rPr/>
            </w:pPr>
            <w:r>
              <w:rPr>
                <w:rFonts w:cs="Verdana" w:ascii="Verdana" w:hAnsi="Verdana"/>
                <w:sz w:val="20"/>
                <w:szCs w:val="20"/>
              </w:rPr>
              <w:t>•</w:t>
            </w:r>
            <w:r>
              <w:rPr>
                <w:rFonts w:eastAsia="Verdana" w:cs="Verdana" w:ascii="Verdana" w:hAnsi="Verdana"/>
                <w:sz w:val="20"/>
                <w:szCs w:val="20"/>
              </w:rPr>
              <w:t xml:space="preserve"> </w:t>
            </w:r>
            <w:r>
              <w:rPr>
                <w:rFonts w:cs="Verdana" w:ascii="Verdana" w:hAnsi="Verdana"/>
                <w:sz w:val="20"/>
                <w:szCs w:val="20"/>
              </w:rPr>
              <w:t>communicate effectively with parents with regard to pupils’ achievements and well-being.</w:t>
            </w:r>
          </w:p>
          <w:p>
            <w:pPr>
              <w:pStyle w:val="Default"/>
              <w:spacing w:before="120" w:after="120"/>
              <w:jc w:val="both"/>
              <w:rPr>
                <w:rFonts w:ascii="Verdana" w:hAnsi="Verdana" w:cs="Verdana"/>
                <w:b/>
                <w:b/>
                <w:bCs/>
                <w:sz w:val="20"/>
                <w:szCs w:val="20"/>
              </w:rPr>
            </w:pPr>
            <w:r>
              <w:rPr>
                <w:rFonts w:cs="Verdana" w:ascii="Verdana" w:hAnsi="Verdana"/>
                <w:b/>
                <w:bCs/>
                <w:sz w:val="20"/>
                <w:szCs w:val="20"/>
              </w:rPr>
              <w:t xml:space="preserve">10. Personal and Professional Conduct </w:t>
            </w:r>
          </w:p>
          <w:p>
            <w:pPr>
              <w:pStyle w:val="Default"/>
              <w:spacing w:before="0" w:after="120"/>
              <w:jc w:val="both"/>
              <w:rPr>
                <w:rFonts w:ascii="Verdana" w:hAnsi="Verdana" w:cs="Verdana"/>
                <w:sz w:val="20"/>
                <w:szCs w:val="20"/>
              </w:rPr>
            </w:pPr>
            <w:r>
              <w:rPr>
                <w:rFonts w:cs="Verdana" w:ascii="Verdana" w:hAnsi="Verdana"/>
                <w:sz w:val="20"/>
                <w:szCs w:val="20"/>
              </w:rPr>
              <w:t xml:space="preserve">A teacher is expected to demonstrate consistently high standards of personal and professional conduct. The following statements define the behaviour and attitudes which set the required standard for conduct throughout a teacher’s career. </w:t>
            </w:r>
          </w:p>
          <w:p>
            <w:pPr>
              <w:pStyle w:val="Default"/>
              <w:spacing w:before="0" w:after="100"/>
              <w:jc w:val="both"/>
              <w:rPr>
                <w:rFonts w:ascii="Verdana" w:hAnsi="Verdana" w:cs="Verdana"/>
                <w:sz w:val="20"/>
                <w:szCs w:val="20"/>
              </w:rPr>
            </w:pPr>
            <w:r>
              <w:rPr>
                <w:rFonts w:cs="Verdana" w:ascii="Verdana" w:hAnsi="Verdana"/>
                <w:sz w:val="20"/>
                <w:szCs w:val="20"/>
              </w:rPr>
              <w:t xml:space="preserve">Teachers uphold public trust in the profession and maintain high standards of ethics and behaviour, within and outside school, by: </w:t>
            </w:r>
          </w:p>
          <w:p>
            <w:pPr>
              <w:pStyle w:val="Default"/>
              <w:numPr>
                <w:ilvl w:val="0"/>
                <w:numId w:val="2"/>
              </w:numPr>
              <w:spacing w:before="0" w:after="100"/>
              <w:jc w:val="both"/>
              <w:rPr>
                <w:rFonts w:ascii="Verdana" w:hAnsi="Verdana" w:cs="Verdana"/>
                <w:sz w:val="20"/>
                <w:szCs w:val="20"/>
              </w:rPr>
            </w:pPr>
            <w:r>
              <w:rPr>
                <w:rFonts w:cs="Verdana" w:ascii="Verdana" w:hAnsi="Verdana"/>
                <w:sz w:val="20"/>
                <w:szCs w:val="20"/>
              </w:rPr>
              <w:t xml:space="preserve">treating pupils with dignity, building relationships rooted in mutual respect, and at all times observing proper boundaries appropriate to a teacher’s professional position; </w:t>
            </w:r>
          </w:p>
          <w:p>
            <w:pPr>
              <w:pStyle w:val="Default"/>
              <w:numPr>
                <w:ilvl w:val="0"/>
                <w:numId w:val="2"/>
              </w:numPr>
              <w:spacing w:before="0" w:after="100"/>
              <w:jc w:val="both"/>
              <w:rPr>
                <w:rFonts w:ascii="Verdana" w:hAnsi="Verdana" w:cs="Verdana"/>
                <w:sz w:val="20"/>
                <w:szCs w:val="20"/>
              </w:rPr>
            </w:pPr>
            <w:r>
              <w:rPr>
                <w:rFonts w:cs="Verdana" w:ascii="Verdana" w:hAnsi="Verdana"/>
                <w:sz w:val="20"/>
                <w:szCs w:val="20"/>
              </w:rPr>
              <w:t xml:space="preserve">having regard for the need to safeguard pupils’ well-being, in accordance with statutory provisions; </w:t>
            </w:r>
          </w:p>
          <w:p>
            <w:pPr>
              <w:pStyle w:val="Default"/>
              <w:numPr>
                <w:ilvl w:val="0"/>
                <w:numId w:val="2"/>
              </w:numPr>
              <w:spacing w:before="0" w:after="100"/>
              <w:jc w:val="both"/>
              <w:rPr>
                <w:rFonts w:ascii="Verdana" w:hAnsi="Verdana" w:cs="Verdana"/>
                <w:sz w:val="20"/>
                <w:szCs w:val="20"/>
              </w:rPr>
            </w:pPr>
            <w:r>
              <w:rPr>
                <w:rFonts w:cs="Verdana" w:ascii="Verdana" w:hAnsi="Verdana"/>
                <w:sz w:val="20"/>
                <w:szCs w:val="20"/>
              </w:rPr>
              <w:t xml:space="preserve">showing tolerance of and respect for the rights of others; </w:t>
            </w:r>
          </w:p>
          <w:p>
            <w:pPr>
              <w:pStyle w:val="Default"/>
              <w:numPr>
                <w:ilvl w:val="0"/>
                <w:numId w:val="2"/>
              </w:numPr>
              <w:spacing w:before="0" w:after="100"/>
              <w:jc w:val="both"/>
              <w:rPr>
                <w:rFonts w:ascii="Verdana" w:hAnsi="Verdana" w:cs="Verdana"/>
                <w:sz w:val="20"/>
                <w:szCs w:val="20"/>
              </w:rPr>
            </w:pPr>
            <w:r>
              <w:rPr>
                <w:rFonts w:cs="Verdana" w:ascii="Verdana" w:hAnsi="Verdana"/>
                <w:sz w:val="20"/>
                <w:szCs w:val="20"/>
              </w:rPr>
              <w:t xml:space="preserve">not undermining fundamental British values, including democracy, the rule of law, individual liberty and mutual respect, and tolerance of those with different faiths and beliefs; </w:t>
            </w:r>
          </w:p>
          <w:p>
            <w:pPr>
              <w:pStyle w:val="Default"/>
              <w:numPr>
                <w:ilvl w:val="0"/>
                <w:numId w:val="2"/>
              </w:numPr>
              <w:spacing w:before="0" w:after="100"/>
              <w:jc w:val="both"/>
              <w:rPr>
                <w:rFonts w:ascii="Verdana" w:hAnsi="Verdana" w:cs="Verdana"/>
                <w:sz w:val="20"/>
                <w:szCs w:val="20"/>
              </w:rPr>
            </w:pPr>
            <w:r>
              <w:rPr>
                <w:rFonts w:cs="Verdana" w:ascii="Verdana" w:hAnsi="Verdana"/>
                <w:sz w:val="20"/>
                <w:szCs w:val="20"/>
              </w:rPr>
              <w:t xml:space="preserve">ensuring that personal beliefs are not expressed in ways which exploit pupils’ vulnerability or might lead them to break the law. </w:t>
            </w:r>
          </w:p>
          <w:p>
            <w:pPr>
              <w:pStyle w:val="Default"/>
              <w:spacing w:before="0" w:after="98"/>
              <w:ind w:left="46" w:right="0" w:hanging="0"/>
              <w:jc w:val="both"/>
              <w:rPr>
                <w:rFonts w:ascii="Verdana" w:hAnsi="Verdana" w:cs="Verdana"/>
                <w:sz w:val="20"/>
                <w:szCs w:val="20"/>
              </w:rPr>
            </w:pPr>
            <w:r>
              <w:rPr>
                <w:rFonts w:cs="Verdana" w:ascii="Verdana" w:hAnsi="Verdana"/>
                <w:sz w:val="20"/>
                <w:szCs w:val="20"/>
              </w:rPr>
              <w:t xml:space="preserve">Teachers must have proper and professional regard for the ethos, policies and practices of the school in which they teach, and maintain high standards in their own attendance and punctuality. </w:t>
            </w:r>
          </w:p>
          <w:p>
            <w:pPr>
              <w:pStyle w:val="Default"/>
              <w:ind w:left="46" w:right="0" w:hanging="0"/>
              <w:jc w:val="both"/>
              <w:rPr>
                <w:rFonts w:ascii="Verdana" w:hAnsi="Verdana" w:cs="Verdana"/>
                <w:sz w:val="20"/>
                <w:szCs w:val="20"/>
              </w:rPr>
            </w:pPr>
            <w:r>
              <w:rPr>
                <w:rFonts w:cs="Verdana" w:ascii="Verdana" w:hAnsi="Verdana"/>
                <w:sz w:val="20"/>
                <w:szCs w:val="20"/>
              </w:rPr>
              <w:t xml:space="preserve">Teachers must have an understanding of, and always act within, the statutory frameworks which set out their professional duties and responsibilities. </w:t>
            </w:r>
          </w:p>
          <w:p>
            <w:pPr>
              <w:pStyle w:val="Default"/>
              <w:rPr>
                <w:rFonts w:ascii="Verdana" w:hAnsi="Verdana" w:cs="Verdana"/>
              </w:rPr>
            </w:pPr>
            <w:r>
              <w:rPr>
                <w:rFonts w:cs="Verdana" w:ascii="Verdana" w:hAnsi="Verdana"/>
              </w:rPr>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ind w:left="34" w:right="317" w:hanging="0"/>
              <w:jc w:val="both"/>
              <w:rPr>
                <w:rFonts w:ascii="Verdana" w:hAnsi="Verdana" w:cs="Verdana"/>
                <w:b/>
                <w:b/>
                <w:lang w:val="en-US"/>
              </w:rPr>
            </w:pPr>
            <w:r>
              <w:rPr>
                <w:rFonts w:cs="Verdana" w:ascii="Verdana" w:hAnsi="Verdana"/>
                <w:b/>
                <w:lang w:val="en-US"/>
              </w:rPr>
              <w:t>Additional Duties:</w:t>
            </w:r>
          </w:p>
          <w:p>
            <w:pPr>
              <w:pStyle w:val="Normal"/>
              <w:ind w:left="34" w:right="317" w:hanging="0"/>
              <w:jc w:val="both"/>
              <w:rPr>
                <w:rFonts w:ascii="Verdana" w:hAnsi="Verdana" w:cs="Verdana"/>
                <w:lang w:val="en-US"/>
              </w:rPr>
            </w:pPr>
            <w:r>
              <w:rPr>
                <w:rFonts w:cs="Verdana" w:ascii="Verdana" w:hAnsi="Verdana"/>
                <w:lang w:val="en-US"/>
              </w:rPr>
            </w:r>
          </w:p>
          <w:p>
            <w:pPr>
              <w:pStyle w:val="Normal"/>
              <w:ind w:left="34" w:right="317" w:hanging="0"/>
              <w:rPr>
                <w:rFonts w:ascii="Verdana" w:hAnsi="Verdana" w:cs="Verdana"/>
                <w:lang w:val="en-US"/>
              </w:rPr>
            </w:pPr>
            <w:r>
              <w:rPr>
                <w:rFonts w:cs="Verdana" w:ascii="Verdana" w:hAnsi="Verdana"/>
                <w:lang w:val="en-US"/>
              </w:rPr>
              <w:t>This Council is committed to safeguarding and promoting the welfare of children and young people and expects all staff within this area to share this commitment and to have understanding of the common core skills and knowledge.</w:t>
            </w:r>
          </w:p>
          <w:p>
            <w:pPr>
              <w:pStyle w:val="Level1"/>
              <w:rPr>
                <w:rFonts w:ascii="Verdana" w:hAnsi="Verdana" w:cs="Verdana"/>
                <w:sz w:val="20"/>
              </w:rPr>
            </w:pPr>
            <w:r>
              <w:rPr>
                <w:rFonts w:cs="Verdana" w:ascii="Verdana" w:hAnsi="Verdana"/>
                <w:sz w:val="20"/>
              </w:rPr>
            </w:r>
          </w:p>
          <w:p>
            <w:pPr>
              <w:pStyle w:val="Level1"/>
              <w:rPr>
                <w:rFonts w:ascii="Verdana" w:hAnsi="Verdana" w:cs="Verdana"/>
                <w:sz w:val="20"/>
              </w:rPr>
            </w:pPr>
            <w:r>
              <w:rPr>
                <w:rFonts w:cs="Verdana" w:ascii="Verdana" w:hAnsi="Verdana"/>
                <w:sz w:val="20"/>
              </w:rPr>
              <w:t>To work positively and inclusively with colleagues and customers so that the Council provides a workplace and delivers services that do not discriminate against people on the ground of their age, sexuality, religion or belief, race, gender or disabilities.</w:t>
            </w:r>
          </w:p>
          <w:p>
            <w:pPr>
              <w:pStyle w:val="Level1"/>
              <w:rPr>
                <w:rFonts w:ascii="Verdana" w:hAnsi="Verdana" w:cs="Verdana"/>
                <w:sz w:val="20"/>
              </w:rPr>
            </w:pPr>
            <w:r>
              <w:rPr>
                <w:rFonts w:cs="Verdana" w:ascii="Verdana" w:hAnsi="Verdana"/>
                <w:sz w:val="20"/>
              </w:rPr>
            </w:r>
          </w:p>
          <w:p>
            <w:pPr>
              <w:pStyle w:val="Level1"/>
              <w:rPr>
                <w:rFonts w:ascii="Verdana" w:hAnsi="Verdana" w:cs="Verdana"/>
                <w:sz w:val="20"/>
              </w:rPr>
            </w:pPr>
            <w:r>
              <w:rPr>
                <w:rFonts w:cs="Verdana" w:ascii="Verdana" w:hAnsi="Verdana"/>
                <w:sz w:val="20"/>
              </w:rPr>
              <w:t>To fulfill personal requirements, where appropriate, with regard to Council policies and procedures, health, safety and welfare, customer care, emergency, evacuation, security and promotion of the Council’s priorities.</w:t>
            </w:r>
          </w:p>
          <w:p>
            <w:pPr>
              <w:pStyle w:val="Level1"/>
              <w:rPr>
                <w:rFonts w:ascii="Verdana" w:hAnsi="Verdana" w:cs="Verdana"/>
                <w:sz w:val="20"/>
              </w:rPr>
            </w:pPr>
            <w:r>
              <w:rPr>
                <w:rFonts w:cs="Verdana" w:ascii="Verdana" w:hAnsi="Verdana"/>
                <w:sz w:val="20"/>
              </w:rPr>
            </w:r>
          </w:p>
          <w:p>
            <w:pPr>
              <w:pStyle w:val="Normal"/>
              <w:rPr>
                <w:rFonts w:ascii="Verdana" w:hAnsi="Verdana" w:cs="Verdana"/>
              </w:rPr>
            </w:pPr>
            <w:r>
              <w:rPr>
                <w:rFonts w:cs="Verdana" w:ascii="Verdana" w:hAnsi="Verdana"/>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p>
            <w:pPr>
              <w:pStyle w:val="Normal"/>
              <w:rPr>
                <w:rFonts w:ascii="Verdana" w:hAnsi="Verdana" w:cs="Verdana"/>
              </w:rPr>
            </w:pPr>
            <w:r>
              <w:rPr>
                <w:rFonts w:cs="Verdana" w:ascii="Verdana" w:hAnsi="Verdana"/>
              </w:rPr>
            </w:r>
          </w:p>
        </w:tc>
      </w:tr>
    </w:tbl>
    <w:p>
      <w:pPr>
        <w:pStyle w:val="Normal"/>
        <w:rPr>
          <w:rFonts w:cs="Arial"/>
          <w:b/>
          <w:b/>
          <w:sz w:val="28"/>
          <w:szCs w:val="28"/>
          <w:lang w:eastAsia="en-GB"/>
        </w:rPr>
      </w:pPr>
      <w:r>
        <w:rPr>
          <w:rFonts w:cs="Arial"/>
          <w:b/>
          <w:sz w:val="28"/>
          <w:szCs w:val="28"/>
          <w:lang w:eastAsia="en-GB"/>
        </w:rPr>
      </w:r>
    </w:p>
    <w:p>
      <w:pPr>
        <w:pStyle w:val="Normal"/>
        <w:rPr>
          <w:rFonts w:cs="Arial"/>
          <w:b/>
          <w:b/>
          <w:sz w:val="28"/>
          <w:szCs w:val="28"/>
          <w:lang w:eastAsia="en-GB"/>
        </w:rPr>
      </w:pPr>
      <w:r>
        <w:rPr>
          <w:rFonts w:cs="Arial"/>
          <w:b/>
          <w:sz w:val="28"/>
          <w:szCs w:val="28"/>
          <w:lang w:eastAsia="en-GB"/>
        </w:rPr>
      </w:r>
    </w:p>
    <w:p>
      <w:pPr>
        <w:pStyle w:val="Normal"/>
        <w:rPr>
          <w:rFonts w:cs="Arial"/>
          <w:b/>
          <w:b/>
          <w:sz w:val="28"/>
          <w:szCs w:val="28"/>
          <w:lang w:eastAsia="en-GB"/>
        </w:rPr>
      </w:pPr>
      <w:r>
        <w:rPr>
          <w:rFonts w:cs="Arial"/>
          <w:b/>
          <w:sz w:val="28"/>
          <w:szCs w:val="28"/>
          <w:lang w:eastAsia="en-GB"/>
        </w:rPr>
      </w:r>
    </w:p>
    <w:sectPr>
      <w:footerReference w:type="default" r:id="rId4"/>
      <w:type w:val="nextPage"/>
      <w:pgSz w:w="11906" w:h="16838"/>
      <w:pgMar w:left="425" w:right="567" w:header="0" w:top="425" w:footer="313" w:bottom="37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0"/>
    <w:family w:val="roman"/>
    <w:pitch w:val="variable"/>
  </w:font>
  <w:font w:name="Tahoma">
    <w:charset w:val="00"/>
    <w:family w:val="roman"/>
    <w:pitch w:val="variable"/>
  </w:font>
  <w:font w:name="Verdana">
    <w:charset w:val="00"/>
    <w:family w:val="roman"/>
    <w:pitch w:val="variable"/>
  </w:font>
  <w:font w:name="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7">
              <wp:simplePos x="0" y="0"/>
              <wp:positionH relativeFrom="margin">
                <wp:align>center</wp:align>
              </wp:positionH>
              <wp:positionV relativeFrom="paragraph">
                <wp:posOffset>635</wp:posOffset>
              </wp:positionV>
              <wp:extent cx="63500" cy="146050"/>
              <wp:effectExtent l="0" t="0" r="0" b="0"/>
              <wp:wrapSquare wrapText="largest"/>
              <wp:docPr id="6" name="Frame2"/>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70.35pt;mso-position-horizontal:center;mso-position-horizontal-relative:margin">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val="bestFit" w:percent="2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rFonts w:ascii="Arial" w:hAnsi="Arial" w:cs="Arial"/>
      <w:b/>
      <w:sz w:val="32"/>
      <w:u w:val="single"/>
    </w:rPr>
  </w:style>
  <w:style w:type="paragraph" w:styleId="Level1">
    <w:name w:val="Level 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PlainText">
    <w:name w:val="Plain Text"/>
    <w:basedOn w:val="Normal"/>
    <w:qFormat/>
    <w:pPr/>
    <w:rPr>
      <w:rFonts w:ascii="Courier New" w:hAnsi="Courier New" w:cs="Courier New"/>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153" w:leader="none"/>
        <w:tab w:val="right" w:pos="830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