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u w:val="single"/>
        </w:rPr>
      </w:pPr>
      <w:r>
        <w:rPr>
          <w:u w:val="single"/>
        </w:rPr>
        <w:t>Banks Lane Infant and Nursery School – Class Teacher Person Specification</w:t>
      </w:r>
      <w:bookmarkStart w:id="0" w:name="_GoBack"/>
      <w:bookmarkEnd w:id="0"/>
    </w:p>
    <w:tbl>
      <w:tblPr>
        <w:tblW w:w="123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2409"/>
        <w:gridCol w:w="714"/>
        <w:gridCol w:w="705"/>
        <w:gridCol w:w="708"/>
        <w:gridCol w:w="708"/>
        <w:gridCol w:w="711"/>
        <w:gridCol w:w="717"/>
      </w:tblGrid>
      <w:tr>
        <w:trPr>
          <w:trHeight w:val="300" w:hRule="atLeast"/>
        </w:trPr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 or desirable</w:t>
            </w:r>
          </w:p>
        </w:tc>
        <w:tc>
          <w:tcPr>
            <w:tcW w:w="4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Score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Curriculum at primary phase including National Curriculum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Create a stimulating and safe learning environment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Assess and record the progress of pupils’ learning to inform next steps and monitor progress.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Demonstrate a commitment to equal opportunities and use a variety of strategies and practices to promote the diverse cultural and equality issues in the classroom.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Use ICT to advance pupils’ learning, and use common ICT tools for their own and pupils’ benefit.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To have a knowledge and understanding of all 3 Key Stages in the primary phase, with particular reference to EYFS and KS1.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Teaching experience with the age range and/or subject(s) applying for.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Plan, prepare and deliver the curriculum as relevant to the age and ability group/subject that you teach, other relevant initiatives and the school’s own policies.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Knowledge of current issues in Education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Involvement with parents in the wider community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Participate in and develop extra- curricular activities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Subject Leadership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To be able to demonstrate a clear rationale for behaviour management and a proven track record of the effective implementation of a range of behaviour management strategies.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Evidence of high expectation of pupils to ensure that they can reach their full potential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Create a stimulating and safe learning environment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Teach using a wide variety of strategies to maximise achievement for all children including those with special educational needs and high achievers and to meet differing learning styles.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Encourage children in developing self-esteem and respect for others.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Deploy a wide range of effective behaviour management strategies, successfully in line with school’s policy.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skilled communicator with experience and understanding of the communications skills required to teach children and young people and the wider school community (verbal, written, using ICT as appropriate).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Use ICT to advance pupils’ learning, and use common ICT tools for their own and pupils’ benefit.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Education and Qualifications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Qualified Teacher Status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Degree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Evidence of continuing professional development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Work related Circumstances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Be a team player who is warm and sensitive to children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Demonstrate personal and professional integrity, including modelling the school’s values and vision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Have the capacity for sustained hard work and vigour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Ability to think on your feet and solve problems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Willingness to lead or support the school in extra curriculum activities.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Understand and actively supports Stockport Councils diversity and equality policy.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To meet Stockport Council’s standard of attendance.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willingness to be flexible in a changing environment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6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0" distT="0" distB="0" distL="0" distR="114300" simplePos="0" locked="0" layoutInCell="1" allowOverlap="1" relativeHeight="3">
          <wp:simplePos x="0" y="0"/>
          <wp:positionH relativeFrom="margin">
            <wp:posOffset>-713105</wp:posOffset>
          </wp:positionH>
          <wp:positionV relativeFrom="paragraph">
            <wp:posOffset>-173355</wp:posOffset>
          </wp:positionV>
          <wp:extent cx="713105" cy="713105"/>
          <wp:effectExtent l="0" t="0" r="0" b="0"/>
          <wp:wrapTight wrapText="bothSides">
            <wp:wrapPolygon edited="0">
              <wp:start x="7407" y="0"/>
              <wp:lineTo x="3932" y="1703"/>
              <wp:lineTo x="-124" y="6297"/>
              <wp:lineTo x="-124" y="13178"/>
              <wp:lineTo x="2199" y="18920"/>
              <wp:lineTo x="6827" y="20634"/>
              <wp:lineTo x="7988" y="20634"/>
              <wp:lineTo x="13205" y="20634"/>
              <wp:lineTo x="18414" y="18920"/>
              <wp:lineTo x="20737" y="12604"/>
              <wp:lineTo x="20737" y="6872"/>
              <wp:lineTo x="17833" y="2277"/>
              <wp:lineTo x="14358" y="0"/>
              <wp:lineTo x="7407" y="0"/>
            </wp:wrapPolygon>
          </wp:wrapTight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75" t="7042" r="7676" b="8237"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2025-06-11T14:22:00Z</dcterms:created>
  <dc:creator>Mrs Wilkinson</dc:creator>
  <dc:description/>
  <dc:language>en-US</dc:language>
  <cp:lastModifiedBy>Mrs Wilkinson</cp:lastModifiedBy>
  <cp:lastPrinted>1995-11-21T17:41:00Z</cp:lastPrinted>
  <dcterms:modified xsi:type="dcterms:W3CDTF">2025-06-11T14:22:00Z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