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1056" w:type="dxa"/>
        <w:jc w:val="left"/>
        <w:tblInd w:w="216" w:type="dxa"/>
        <w:tblLayout w:type="fixed"/>
        <w:tblCellMar>
          <w:top w:w="0" w:type="dxa"/>
          <w:left w:w="108" w:type="dxa"/>
          <w:bottom w:w="0" w:type="dxa"/>
          <w:right w:w="108" w:type="dxa"/>
        </w:tblCellMar>
      </w:tblPr>
      <w:tblGrid>
        <w:gridCol w:w="6071"/>
        <w:gridCol w:w="4985"/>
      </w:tblGrid>
      <w:tr>
        <w:trPr/>
        <w:tc>
          <w:tcPr>
            <w:tcW w:w="11056" w:type="dxa"/>
            <w:gridSpan w:val="2"/>
            <w:tcBorders>
              <w:top w:val="single" w:sz="18" w:space="0" w:color="006666"/>
              <w:left w:val="single" w:sz="18" w:space="0" w:color="006666"/>
              <w:bottom w:val="single" w:sz="18" w:space="0" w:color="006666"/>
              <w:right w:val="single" w:sz="18" w:space="0" w:color="006666"/>
            </w:tcBorders>
          </w:tcPr>
          <w:p>
            <w:pPr>
              <w:pStyle w:val="Title"/>
              <w:ind w:left="-142" w:right="0"/>
              <w:rPr/>
            </w:pPr>
            <w:bookmarkStart w:id="0" w:name="_GoBack"/>
            <w:bookmarkEnd w:id="0"/>
            <w:r>
              <w:rPr/>
              <mc:AlternateContent>
                <mc:Choice Requires="wps">
                  <w:drawing>
                    <wp:anchor behindDoc="0" distT="0" distB="0" distL="114935" distR="114300" simplePos="0" locked="0" layoutInCell="1" allowOverlap="1" relativeHeight="6">
                      <wp:simplePos x="0" y="0"/>
                      <wp:positionH relativeFrom="column">
                        <wp:posOffset>57785</wp:posOffset>
                      </wp:positionH>
                      <wp:positionV relativeFrom="paragraph">
                        <wp:posOffset>1190625</wp:posOffset>
                      </wp:positionV>
                      <wp:extent cx="1805305" cy="514985"/>
                      <wp:effectExtent l="635" t="635" r="0" b="0"/>
                      <wp:wrapNone/>
                      <wp:docPr id="1" name="Text Box 9"/>
                      <a:graphic xmlns:a="http://schemas.openxmlformats.org/drawingml/2006/main">
                        <a:graphicData uri="http://schemas.microsoft.com/office/word/2010/wordprocessingShape">
                          <wps:wsp>
                            <wps:cNvSpPr/>
                            <wps:spPr>
                              <a:xfrm>
                                <a:off x="0" y="0"/>
                                <a:ext cx="1805400" cy="51516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9" path="m0,0l-2147483645,0l-2147483645,-2147483646l0,-2147483646xe" fillcolor="white" stroked="f" o:allowincell="t" style="position:absolute;margin-left:4.55pt;margin-top:93.75pt;width:142.1pt;height:40.5pt;mso-wrap-style:none;v-text-anchor:middle">
                      <v:fill o:detectmouseclick="t" type="solid" color2="black"/>
                      <v:stroke color="#3465a4" joinstyle="round" endcap="flat"/>
                      <w10:wrap type="none"/>
                    </v:rect>
                  </w:pict>
                </mc:Fallback>
              </mc:AlternateContent>
              <w:drawing>
                <wp:inline distT="0" distB="0" distL="0" distR="0">
                  <wp:extent cx="7009765" cy="118999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3" t="-19" r="-3" b="-19"/>
                          <a:stretch>
                            <a:fillRect/>
                          </a:stretch>
                        </pic:blipFill>
                        <pic:spPr bwMode="auto">
                          <a:xfrm>
                            <a:off x="0" y="0"/>
                            <a:ext cx="7009765" cy="1189990"/>
                          </a:xfrm>
                          <a:prstGeom prst="rect">
                            <a:avLst/>
                          </a:prstGeom>
                        </pic:spPr>
                      </pic:pic>
                    </a:graphicData>
                  </a:graphic>
                </wp:inline>
              </w:drawing>
            </w:r>
            <w:r>
              <w:rPr>
                <w:rFonts w:eastAsia="Verdana" w:cs="Verdana" w:ascii="Verdana" w:hAnsi="Verdana"/>
                <w:b w:val="false"/>
                <w:sz w:val="24"/>
                <w:u w:val="none"/>
              </w:rPr>
              <w:t xml:space="preserve"> </w:t>
            </w:r>
            <w:r>
              <w:rPr>
                <w:rFonts w:cs="Verdana" w:ascii="Verdana" w:hAnsi="Verdana"/>
                <w:szCs w:val="32"/>
                <w:u w:val="none"/>
              </w:rPr>
              <w:t>Stockport Council</w:t>
            </w:r>
            <w:r>
              <mc:AlternateContent>
                <mc:Choice Requires="wps">
                  <w:drawing>
                    <wp:anchor behindDoc="0" distT="72390" distB="72390" distL="0" distR="0" simplePos="0" locked="0" layoutInCell="1" allowOverlap="1" relativeHeight="7">
                      <wp:simplePos x="0" y="0"/>
                      <wp:positionH relativeFrom="column">
                        <wp:posOffset>57785</wp:posOffset>
                      </wp:positionH>
                      <wp:positionV relativeFrom="paragraph">
                        <wp:posOffset>1190625</wp:posOffset>
                      </wp:positionV>
                      <wp:extent cx="1805305" cy="424180"/>
                      <wp:effectExtent l="0" t="0" r="0" b="0"/>
                      <wp:wrapNone/>
                      <wp:docPr id="3" name="Frame1"/>
                      <a:graphic xmlns:a="http://schemas.openxmlformats.org/drawingml/2006/main">
                        <a:graphicData uri="http://schemas.microsoft.com/office/word/2010/wordprocessingShape">
                          <wps:wsp>
                            <wps:cNvSpPr txBox="1"/>
                            <wps:spPr>
                              <a:xfrm>
                                <a:off x="0" y="0"/>
                                <a:ext cx="1805305" cy="424180"/>
                              </a:xfrm>
                              <a:prstGeom prst="rect"/>
                              <a:solidFill>
                                <a:srgbClr val="FFFFFF"/>
                              </a:solidFill>
                            </wps:spPr>
                            <wps:txbx>
                              <w:txbxContent>
                                <w:p>
                                  <w:pPr>
                                    <w:pStyle w:val="FrameContents"/>
                                    <w:rPr/>
                                  </w:pPr>
                                  <w:r>
                                    <w:rPr/>
                                    <w:drawing>
                                      <wp:inline distT="0" distB="0" distL="0" distR="0">
                                        <wp:extent cx="1617345" cy="33337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10" t="-48" r="-10" b="-48"/>
                                                <a:stretch>
                                                  <a:fillRect/>
                                                </a:stretch>
                                              </pic:blipFill>
                                              <pic:spPr bwMode="auto">
                                                <a:xfrm>
                                                  <a:off x="0" y="0"/>
                                                  <a:ext cx="1617345" cy="33337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142.15pt;height:33.4pt;mso-wrap-distance-left:0pt;mso-wrap-distance-right:0pt;mso-wrap-distance-top:5.7pt;mso-wrap-distance-bottom:5.7pt;margin-top:93.75pt;mso-position-vertical-relative:text;margin-left:4.55pt;mso-position-horizontal-relative:text">
                      <v:textbox inset="0.100694444444444in,0.0506944444444444in,0.100694444444444in,0.0506944444444444in">
                        <w:txbxContent>
                          <w:p>
                            <w:pPr>
                              <w:pStyle w:val="FrameContents"/>
                              <w:rPr/>
                            </w:pPr>
                            <w:r>
                              <w:rPr/>
                              <w:drawing>
                                <wp:inline distT="0" distB="0" distL="0" distR="0">
                                  <wp:extent cx="1617345" cy="333375"/>
                                  <wp:effectExtent l="0" t="0" r="0" b="0"/>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4"/>
                                          <a:srcRect l="-10" t="-48" r="-10" b="-48"/>
                                          <a:stretch>
                                            <a:fillRect/>
                                          </a:stretch>
                                        </pic:blipFill>
                                        <pic:spPr bwMode="auto">
                                          <a:xfrm>
                                            <a:off x="0" y="0"/>
                                            <a:ext cx="1617345" cy="333375"/>
                                          </a:xfrm>
                                          <a:prstGeom prst="rect">
                                            <a:avLst/>
                                          </a:prstGeom>
                                        </pic:spPr>
                                      </pic:pic>
                                    </a:graphicData>
                                  </a:graphic>
                                </wp:inline>
                              </w:drawing>
                            </w:r>
                          </w:p>
                        </w:txbxContent>
                      </v:textbox>
                      <w10:wrap type="none"/>
                    </v:rect>
                  </w:pict>
                </mc:Fallback>
              </mc:AlternateContent>
            </w:r>
          </w:p>
          <w:p>
            <w:pPr>
              <w:pStyle w:val="Normal"/>
              <w:tabs>
                <w:tab w:val="left" w:pos="720" w:leader="none"/>
                <w:tab w:val="left" w:pos="1440" w:leader="none"/>
                <w:tab w:val="left" w:pos="2160" w:leader="none"/>
                <w:tab w:val="left" w:pos="2880" w:leader="none"/>
                <w:tab w:val="left" w:pos="6570" w:leader="none"/>
              </w:tabs>
              <w:jc w:val="center"/>
              <w:rPr>
                <w:rFonts w:ascii="Verdana" w:hAnsi="Verdana" w:cs="Verdana"/>
                <w:b/>
                <w:sz w:val="32"/>
                <w:szCs w:val="32"/>
              </w:rPr>
            </w:pPr>
            <w:r>
              <w:rPr>
                <w:rFonts w:cs="Verdana" w:ascii="Verdana" w:hAnsi="Verdana"/>
                <w:b/>
                <w:sz w:val="32"/>
                <w:szCs w:val="32"/>
              </w:rPr>
              <w:t>Job Description</w:t>
            </w:r>
          </w:p>
          <w:p>
            <w:pPr>
              <w:pStyle w:val="Normal"/>
              <w:tabs>
                <w:tab w:val="left" w:pos="720" w:leader="none"/>
                <w:tab w:val="left" w:pos="1440" w:leader="none"/>
                <w:tab w:val="left" w:pos="2160" w:leader="none"/>
                <w:tab w:val="left" w:pos="2880" w:leader="none"/>
                <w:tab w:val="left" w:pos="6570" w:leader="none"/>
              </w:tabs>
              <w:rPr/>
            </w:pPr>
            <w:r>
              <w:rPr/>
            </w:r>
          </w:p>
        </w:tc>
      </w:tr>
      <w:tr>
        <w:trPr/>
        <w:tc>
          <w:tcPr>
            <w:tcW w:w="6071" w:type="dxa"/>
            <w:tcBorders>
              <w:top w:val="single" w:sz="18" w:space="0" w:color="006666"/>
              <w:left w:val="single" w:sz="18" w:space="0" w:color="006666"/>
              <w:bottom w:val="single" w:sz="18" w:space="0" w:color="006666"/>
              <w:right w:val="single" w:sz="18" w:space="0" w:color="006666"/>
            </w:tcBorders>
          </w:tcPr>
          <w:p>
            <w:pPr>
              <w:pStyle w:val="Normal"/>
              <w:snapToGrid w:val="false"/>
              <w:rPr/>
            </w:pPr>
            <w:r>
              <w:rPr/>
            </w:r>
          </w:p>
          <w:p>
            <w:pPr>
              <w:pStyle w:val="Title"/>
              <w:jc w:val="left"/>
              <w:rPr>
                <w:rFonts w:ascii="Verdana" w:hAnsi="Verdana" w:cs="Verdana"/>
                <w:sz w:val="20"/>
                <w:u w:val="none"/>
              </w:rPr>
            </w:pPr>
            <w:r>
              <w:rPr>
                <w:rFonts w:cs="Verdana" w:ascii="Verdana" w:hAnsi="Verdana"/>
                <w:sz w:val="20"/>
                <w:u w:val="none"/>
              </w:rPr>
              <w:t>Job Title: Midday Assistant</w:t>
              <w:tab/>
            </w:r>
          </w:p>
          <w:p>
            <w:pPr>
              <w:pStyle w:val="Normal"/>
              <w:tabs>
                <w:tab w:val="left" w:pos="720" w:leader="none"/>
                <w:tab w:val="left" w:pos="1440" w:leader="none"/>
                <w:tab w:val="left" w:pos="2160" w:leader="none"/>
                <w:tab w:val="left" w:pos="2880" w:leader="none"/>
                <w:tab w:val="left" w:pos="6570" w:leader="none"/>
              </w:tabs>
              <w:rPr>
                <w:rFonts w:ascii="Verdana" w:hAnsi="Verdana" w:cs="Verdana"/>
                <w:b/>
              </w:rPr>
            </w:pPr>
            <w:r>
              <w:rPr>
                <w:rFonts w:cs="Verdana" w:ascii="Verdana" w:hAnsi="Verdana"/>
                <w:b/>
              </w:rPr>
              <w:t>Department:</w:t>
              <w:tab/>
              <w:t xml:space="preserve"> Didsbury Road Primary School</w:t>
            </w:r>
          </w:p>
          <w:p>
            <w:pPr>
              <w:pStyle w:val="Normal"/>
              <w:rPr/>
            </w:pPr>
            <w:r>
              <w:rPr>
                <w:rFonts w:cs="Verdana" w:ascii="Verdana" w:hAnsi="Verdana"/>
                <w:b/>
                <w:position w:val="-1"/>
              </w:rPr>
              <w:t xml:space="preserve">Directorate: </w:t>
            </w:r>
            <w:r>
              <w:rPr>
                <w:rFonts w:cs="Verdana" w:ascii="Verdana" w:hAnsi="Verdana"/>
                <w:b/>
              </w:rPr>
              <w:t>Children &amp; Young People</w:t>
            </w:r>
          </w:p>
        </w:tc>
        <w:tc>
          <w:tcPr>
            <w:tcW w:w="4985" w:type="dxa"/>
            <w:tcBorders>
              <w:top w:val="single" w:sz="18" w:space="0" w:color="006666"/>
              <w:left w:val="single" w:sz="18" w:space="0" w:color="006666"/>
              <w:bottom w:val="single" w:sz="18" w:space="0" w:color="006666"/>
              <w:right w:val="single" w:sz="18" w:space="0" w:color="006666"/>
            </w:tcBorders>
          </w:tcPr>
          <w:p>
            <w:pPr>
              <w:pStyle w:val="Normal"/>
              <w:tabs>
                <w:tab w:val="left" w:pos="720" w:leader="none"/>
                <w:tab w:val="left" w:pos="1440" w:leader="none"/>
                <w:tab w:val="left" w:pos="2160" w:leader="none"/>
                <w:tab w:val="left" w:pos="2880" w:leader="none"/>
                <w:tab w:val="left" w:pos="6570" w:leader="none"/>
              </w:tabs>
              <w:snapToGrid w:val="false"/>
              <w:rPr>
                <w:rFonts w:ascii="Verdana" w:hAnsi="Verdana" w:cs="Verdana"/>
                <w:b/>
              </w:rPr>
            </w:pPr>
            <w:r>
              <w:rPr>
                <w:rFonts w:cs="Verdana" w:ascii="Verdana" w:hAnsi="Verdana"/>
                <w:b/>
              </w:rPr>
            </w:r>
          </w:p>
          <w:p>
            <w:pPr>
              <w:pStyle w:val="Title"/>
              <w:jc w:val="left"/>
              <w:rPr>
                <w:rFonts w:ascii="Verdana" w:hAnsi="Verdana" w:cs="Verdana"/>
                <w:b/>
                <w:sz w:val="20"/>
                <w:u w:val="none"/>
              </w:rPr>
            </w:pPr>
            <w:r>
              <w:rPr>
                <w:rFonts w:cs="Verdana" w:ascii="Verdana" w:hAnsi="Verdana"/>
                <w:b/>
                <w:sz w:val="20"/>
                <w:u w:val="none"/>
              </w:rPr>
            </w:r>
          </w:p>
          <w:p>
            <w:pPr>
              <w:pStyle w:val="Title"/>
              <w:jc w:val="left"/>
              <w:rPr/>
            </w:pPr>
            <w:r>
              <w:rPr>
                <w:rFonts w:cs="Verdana" w:ascii="Verdana" w:hAnsi="Verdana"/>
                <w:sz w:val="20"/>
                <w:u w:val="none"/>
              </w:rPr>
              <w:t xml:space="preserve">Salary Grade: </w:t>
            </w:r>
            <w:r>
              <w:rPr>
                <w:rFonts w:cs="Arial"/>
                <w:b w:val="false"/>
                <w:sz w:val="24"/>
                <w:szCs w:val="24"/>
                <w:u w:val="none"/>
              </w:rPr>
              <w:t xml:space="preserve">Scale 1 </w:t>
            </w:r>
          </w:p>
          <w:p>
            <w:pPr>
              <w:pStyle w:val="Normal"/>
              <w:rPr/>
            </w:pPr>
            <w:r>
              <w:rPr/>
            </w:r>
          </w:p>
        </w:tc>
      </w:tr>
      <w:tr>
        <w:trPr/>
        <w:tc>
          <w:tcPr>
            <w:tcW w:w="11056" w:type="dxa"/>
            <w:gridSpan w:val="2"/>
            <w:tcBorders>
              <w:top w:val="single" w:sz="18" w:space="0" w:color="006666"/>
              <w:left w:val="single" w:sz="18" w:space="0" w:color="006666"/>
              <w:bottom w:val="single" w:sz="18" w:space="0" w:color="006666"/>
              <w:right w:val="single" w:sz="18" w:space="0" w:color="006666"/>
            </w:tcBorders>
          </w:tcPr>
          <w:p>
            <w:pPr>
              <w:pStyle w:val="Normal"/>
              <w:rPr>
                <w:rFonts w:ascii="Verdana" w:hAnsi="Verdana" w:cs="Verdana"/>
                <w:b/>
              </w:rPr>
            </w:pPr>
            <w:r>
              <w:rPr>
                <w:rFonts w:cs="Verdana" w:ascii="Verdana" w:hAnsi="Verdana"/>
                <w:b/>
              </w:rPr>
              <w:t>Post Reports to: Headteacher</w:t>
            </w:r>
          </w:p>
          <w:p>
            <w:pPr>
              <w:pStyle w:val="Normal"/>
              <w:rPr>
                <w:rFonts w:ascii="Verdana" w:hAnsi="Verdana" w:cs="Verdana"/>
                <w:b/>
              </w:rPr>
            </w:pPr>
            <w:r>
              <w:rPr>
                <w:rFonts w:cs="Verdana" w:ascii="Verdana" w:hAnsi="Verdana"/>
                <w:b/>
              </w:rPr>
              <w:t>Post Responsible for: No responsibility for other staff</w:t>
            </w:r>
          </w:p>
          <w:p>
            <w:pPr>
              <w:pStyle w:val="Normal"/>
              <w:rPr>
                <w:rFonts w:ascii="Verdana" w:hAnsi="Verdana" w:cs="Verdana"/>
                <w:b/>
              </w:rPr>
            </w:pPr>
            <w:r>
              <w:rPr>
                <w:rFonts w:cs="Verdana" w:ascii="Verdana" w:hAnsi="Verdana"/>
                <w:b/>
              </w:rPr>
            </w:r>
          </w:p>
        </w:tc>
      </w:tr>
      <w:tr>
        <w:trPr/>
        <w:tc>
          <w:tcPr>
            <w:tcW w:w="11056" w:type="dxa"/>
            <w:gridSpan w:val="2"/>
            <w:tcBorders>
              <w:top w:val="single" w:sz="18" w:space="0" w:color="006666"/>
              <w:left w:val="single" w:sz="18" w:space="0" w:color="006666"/>
              <w:bottom w:val="single" w:sz="18" w:space="0" w:color="006666"/>
              <w:right w:val="single" w:sz="18" w:space="0" w:color="006666"/>
            </w:tcBorders>
          </w:tcPr>
          <w:p>
            <w:pPr>
              <w:pStyle w:val="Heading6"/>
              <w:spacing w:before="240" w:after="60"/>
              <w:ind w:hanging="0" w:left="0"/>
              <w:rPr/>
            </w:pPr>
            <w:r>
              <w:rPr>
                <w:rFonts w:cs="Verdana" w:ascii="Verdana" w:hAnsi="Verdana"/>
                <w:b w:val="false"/>
              </w:rPr>
              <w:t>Main Purpose of the Job:</w:t>
            </w:r>
            <w:r>
              <w:rPr>
                <w:rFonts w:cs="Verdana" w:ascii="Verdana" w:hAnsi="Verdana"/>
              </w:rPr>
              <w:t xml:space="preserve"> </w:t>
            </w:r>
            <w:r>
              <w:rPr>
                <w:rFonts w:cs="Arial" w:ascii="Arial" w:hAnsi="Arial"/>
                <w:b w:val="false"/>
                <w:sz w:val="24"/>
                <w:szCs w:val="24"/>
              </w:rPr>
              <w:t>To be responsible to the Headteacher and other members of the Senior Leadership Team under the overall authority of the Headteacher, for the supervision of pupils during the lunch break.</w:t>
            </w:r>
          </w:p>
          <w:p>
            <w:pPr>
              <w:pStyle w:val="Normal"/>
              <w:rPr>
                <w:rFonts w:ascii="Verdana" w:hAnsi="Verdana" w:cs="Verdana"/>
                <w:b/>
              </w:rPr>
            </w:pPr>
            <w:r>
              <w:rPr>
                <w:rFonts w:cs="Verdana" w:ascii="Verdana" w:hAnsi="Verdana"/>
                <w:b/>
              </w:rPr>
            </w:r>
          </w:p>
        </w:tc>
      </w:tr>
      <w:tr>
        <w:trPr/>
        <w:tc>
          <w:tcPr>
            <w:tcW w:w="11056" w:type="dxa"/>
            <w:gridSpan w:val="2"/>
            <w:tcBorders>
              <w:top w:val="single" w:sz="18" w:space="0" w:color="006666"/>
              <w:left w:val="single" w:sz="18" w:space="0" w:color="006666"/>
              <w:bottom w:val="single" w:sz="18" w:space="0" w:color="006666"/>
              <w:right w:val="single" w:sz="18" w:space="0" w:color="006666"/>
            </w:tcBorders>
          </w:tcPr>
          <w:p>
            <w:pPr>
              <w:pStyle w:val="Normal"/>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rPr>
                <w:rFonts w:ascii="Verdana" w:hAnsi="Verdana" w:cs="Verdana"/>
                <w:b/>
                <w:sz w:val="22"/>
                <w:u w:val="single"/>
              </w:rPr>
            </w:pPr>
            <w:r>
              <w:rPr>
                <w:rFonts w:cs="Verdana" w:ascii="Verdana" w:hAnsi="Verdana"/>
                <w:b/>
                <w:sz w:val="22"/>
                <w:u w:val="single"/>
              </w:rPr>
              <w:t>SUMMARY OF RESPONSIBILITIES AND PERSONAL DUTIES:</w:t>
            </w:r>
          </w:p>
          <w:p>
            <w:pPr>
              <w:pStyle w:val="PlainText"/>
              <w:jc w:val="both"/>
              <w:rPr>
                <w:rFonts w:ascii="Verdana" w:hAnsi="Verdana" w:cs="Verdana"/>
                <w:sz w:val="22"/>
                <w:u w:val="single"/>
              </w:rPr>
            </w:pPr>
            <w:r>
              <w:rPr>
                <w:rFonts w:cs="Verdana" w:ascii="Verdana" w:hAnsi="Verdana"/>
                <w:sz w:val="22"/>
                <w:u w:val="single"/>
              </w:rPr>
            </w:r>
          </w:p>
          <w:p>
            <w:pPr>
              <w:pStyle w:val="PlainText"/>
              <w:jc w:val="both"/>
              <w:rPr>
                <w:rFonts w:ascii="Verdana" w:hAnsi="Verdana" w:cs="Verdana"/>
                <w:sz w:val="22"/>
                <w:u w:val="single"/>
              </w:rPr>
            </w:pPr>
            <w:r>
              <w:rPr>
                <w:rFonts w:cs="Verdana" w:ascii="Verdana" w:hAnsi="Verdana"/>
                <w:sz w:val="22"/>
                <w:u w:val="single"/>
              </w:rPr>
              <w:t>KEY AREAS</w:t>
            </w:r>
          </w:p>
          <w:p>
            <w:pPr>
              <w:pStyle w:val="PlainText"/>
              <w:jc w:val="both"/>
              <w:rPr>
                <w:rFonts w:ascii="Verdana" w:hAnsi="Verdana" w:cs="Verdana"/>
                <w:sz w:val="22"/>
                <w:u w:val="single"/>
              </w:rPr>
            </w:pPr>
            <w:r>
              <w:rPr>
                <w:rFonts w:cs="Verdana" w:ascii="Verdana" w:hAnsi="Verdana"/>
                <w:sz w:val="22"/>
                <w:u w:val="single"/>
              </w:rPr>
            </w:r>
          </w:p>
          <w:p>
            <w:pPr>
              <w:pStyle w:val="Normal"/>
              <w:numPr>
                <w:ilvl w:val="0"/>
                <w:numId w:val="2"/>
              </w:numPr>
              <w:rPr/>
            </w:pPr>
            <w:r>
              <w:rPr>
                <w:rFonts w:cs="Arial" w:ascii="Arial" w:hAnsi="Arial"/>
                <w:sz w:val="24"/>
              </w:rPr>
              <w:t>Supervision of children during the school lunch break</w:t>
            </w:r>
          </w:p>
          <w:p>
            <w:pPr>
              <w:pStyle w:val="Normal"/>
              <w:numPr>
                <w:ilvl w:val="0"/>
                <w:numId w:val="2"/>
              </w:numPr>
              <w:rPr/>
            </w:pPr>
            <w:r>
              <w:rPr>
                <w:rFonts w:cs="Arial" w:ascii="Arial" w:hAnsi="Arial"/>
                <w:sz w:val="24"/>
              </w:rPr>
              <w:t>Ensuring that all hygiene standards are maintained</w:t>
            </w:r>
          </w:p>
          <w:p>
            <w:pPr>
              <w:pStyle w:val="Normal"/>
              <w:numPr>
                <w:ilvl w:val="0"/>
                <w:numId w:val="2"/>
              </w:numPr>
              <w:rPr/>
            </w:pPr>
            <w:r>
              <w:rPr>
                <w:rFonts w:cs="Arial" w:ascii="Arial" w:hAnsi="Arial"/>
                <w:sz w:val="24"/>
              </w:rPr>
              <w:t>Ensure that all safety standards are maintained</w:t>
            </w:r>
          </w:p>
          <w:p>
            <w:pPr>
              <w:pStyle w:val="Normal"/>
              <w:numPr>
                <w:ilvl w:val="0"/>
                <w:numId w:val="2"/>
              </w:numPr>
              <w:rPr/>
            </w:pPr>
            <w:r>
              <w:rPr>
                <w:rFonts w:cs="Arial" w:ascii="Arial" w:hAnsi="Arial"/>
                <w:sz w:val="24"/>
              </w:rPr>
              <w:t>Supervise hand washing</w:t>
            </w:r>
          </w:p>
          <w:p>
            <w:pPr>
              <w:pStyle w:val="Normal"/>
              <w:numPr>
                <w:ilvl w:val="0"/>
                <w:numId w:val="2"/>
              </w:numPr>
              <w:rPr/>
            </w:pPr>
            <w:r>
              <w:rPr>
                <w:rFonts w:cs="Arial" w:ascii="Arial" w:hAnsi="Arial"/>
                <w:sz w:val="24"/>
              </w:rPr>
              <w:t>Escorting children to and from the dining hall/playground/classroom</w:t>
            </w:r>
          </w:p>
          <w:p>
            <w:pPr>
              <w:pStyle w:val="Normal"/>
              <w:numPr>
                <w:ilvl w:val="0"/>
                <w:numId w:val="2"/>
              </w:numPr>
              <w:rPr/>
            </w:pPr>
            <w:r>
              <w:rPr>
                <w:rFonts w:cs="Arial" w:ascii="Arial" w:hAnsi="Arial"/>
                <w:sz w:val="24"/>
              </w:rPr>
              <w:t>Encourage children to consume their lunch and assist in table manners</w:t>
            </w:r>
          </w:p>
          <w:p>
            <w:pPr>
              <w:pStyle w:val="Normal"/>
              <w:numPr>
                <w:ilvl w:val="0"/>
                <w:numId w:val="2"/>
              </w:numPr>
              <w:rPr/>
            </w:pPr>
            <w:r>
              <w:rPr>
                <w:rFonts w:cs="Arial" w:ascii="Arial" w:hAnsi="Arial"/>
                <w:sz w:val="24"/>
              </w:rPr>
              <w:t>Ensure flow of children is made in an organised way</w:t>
            </w:r>
          </w:p>
          <w:p>
            <w:pPr>
              <w:pStyle w:val="Normal"/>
              <w:numPr>
                <w:ilvl w:val="0"/>
                <w:numId w:val="2"/>
              </w:numPr>
              <w:rPr/>
            </w:pPr>
            <w:r>
              <w:rPr>
                <w:rFonts w:cs="Arial" w:ascii="Arial" w:hAnsi="Arial"/>
                <w:sz w:val="24"/>
              </w:rPr>
              <w:t>Supervision of children in the playground, school field, toilets and corridors</w:t>
            </w:r>
          </w:p>
          <w:p>
            <w:pPr>
              <w:pStyle w:val="Normal"/>
              <w:numPr>
                <w:ilvl w:val="0"/>
                <w:numId w:val="2"/>
              </w:numPr>
              <w:rPr/>
            </w:pPr>
            <w:r>
              <w:rPr>
                <w:rFonts w:cs="Arial" w:ascii="Arial" w:hAnsi="Arial"/>
                <w:sz w:val="24"/>
              </w:rPr>
              <w:t>To assist generally with occurrences arising until school recommences for the afternoon session (first aid and sickness)</w:t>
            </w:r>
          </w:p>
          <w:p>
            <w:pPr>
              <w:pStyle w:val="Normal"/>
              <w:numPr>
                <w:ilvl w:val="0"/>
                <w:numId w:val="2"/>
              </w:numPr>
              <w:rPr/>
            </w:pPr>
            <w:r>
              <w:rPr>
                <w:rFonts w:cs="Arial" w:ascii="Arial" w:hAnsi="Arial"/>
                <w:sz w:val="24"/>
              </w:rPr>
              <w:t>Ancillary associated duties (cleaning up spillages, ensuring tables are clean)</w:t>
            </w:r>
          </w:p>
          <w:p>
            <w:pPr>
              <w:pStyle w:val="Normal"/>
              <w:numPr>
                <w:ilvl w:val="0"/>
                <w:numId w:val="2"/>
              </w:numPr>
              <w:rPr/>
            </w:pPr>
            <w:r>
              <w:rPr>
                <w:rFonts w:cs="Arial" w:ascii="Arial" w:hAnsi="Arial"/>
                <w:sz w:val="24"/>
              </w:rPr>
              <w:t>Such other related duties as required.</w:t>
            </w:r>
          </w:p>
          <w:p>
            <w:pPr>
              <w:pStyle w:val="Normal"/>
              <w:rPr>
                <w:rFonts w:ascii="Arial" w:hAnsi="Arial" w:cs="Arial"/>
                <w:sz w:val="24"/>
              </w:rPr>
            </w:pPr>
            <w:r>
              <w:rPr>
                <w:rFonts w:cs="Arial" w:ascii="Arial" w:hAnsi="Arial"/>
                <w:sz w:val="24"/>
              </w:rPr>
            </w:r>
          </w:p>
          <w:p>
            <w:pPr>
              <w:pStyle w:val="Normal"/>
              <w:rPr>
                <w:rFonts w:ascii="Arial" w:hAnsi="Arial" w:cs="Arial"/>
                <w:sz w:val="24"/>
              </w:rPr>
            </w:pPr>
            <w:r>
              <w:rPr>
                <w:rFonts w:cs="Arial" w:ascii="Arial" w:hAnsi="Arial"/>
                <w:sz w:val="24"/>
              </w:rPr>
              <w:t>All duties will be carried out in the working conditions normally inherent in the job. All necessary paperwork must be completed.</w:t>
            </w:r>
          </w:p>
          <w:p>
            <w:pPr>
              <w:pStyle w:val="Normal"/>
              <w:rPr>
                <w:rFonts w:ascii="Arial" w:hAnsi="Arial" w:cs="Arial"/>
                <w:sz w:val="24"/>
              </w:rPr>
            </w:pPr>
            <w:r>
              <w:rPr>
                <w:rFonts w:cs="Arial" w:ascii="Arial" w:hAnsi="Arial"/>
                <w:sz w:val="24"/>
              </w:rPr>
            </w:r>
          </w:p>
          <w:p>
            <w:pPr>
              <w:pStyle w:val="Normal"/>
              <w:rPr>
                <w:rFonts w:ascii="Arial" w:hAnsi="Arial" w:cs="Arial"/>
                <w:sz w:val="24"/>
              </w:rPr>
            </w:pPr>
            <w:r>
              <w:rPr>
                <w:rFonts w:cs="Arial" w:ascii="Arial" w:hAnsi="Arial"/>
                <w:sz w:val="24"/>
              </w:rPr>
            </w:r>
          </w:p>
          <w:p>
            <w:pPr>
              <w:pStyle w:val="BodyText2"/>
              <w:rPr>
                <w:rFonts w:ascii="Arial" w:hAnsi="Arial" w:cs="Arial"/>
              </w:rPr>
            </w:pPr>
            <w:r>
              <w:rPr>
                <w:rFonts w:cs="Arial" w:ascii="Arial" w:hAnsi="Arial"/>
              </w:rPr>
              <w:t>Duties will be carried out for jobs up to and including those in the same grade, provided such duties are within the competence of the employee. To be responsible for your own health and safety and that of other employees.</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b/>
                <w:sz w:val="24"/>
                <w:szCs w:val="24"/>
              </w:rPr>
            </w:pPr>
            <w:r>
              <w:rPr>
                <w:rFonts w:cs="Arial" w:ascii="Arial" w:hAnsi="Arial"/>
                <w:b/>
                <w:sz w:val="24"/>
                <w:szCs w:val="24"/>
              </w:rPr>
              <w:t>Health and Safety</w:t>
            </w:r>
          </w:p>
          <w:p>
            <w:pPr>
              <w:pStyle w:val="Normal"/>
              <w:rPr>
                <w:rFonts w:ascii="Arial" w:hAnsi="Arial" w:cs="Arial"/>
                <w:sz w:val="24"/>
                <w:szCs w:val="24"/>
              </w:rPr>
            </w:pPr>
            <w:r>
              <w:rPr>
                <w:rFonts w:cs="Arial" w:ascii="Arial" w:hAnsi="Arial"/>
                <w:sz w:val="24"/>
                <w:szCs w:val="24"/>
              </w:rPr>
              <w:t xml:space="preserve">To operate safely within the workplace with regard to health and safety policies, </w:t>
            </w:r>
          </w:p>
          <w:p>
            <w:pPr>
              <w:pStyle w:val="Normal"/>
              <w:rPr>
                <w:rFonts w:ascii="Arial" w:hAnsi="Arial" w:cs="Arial"/>
                <w:sz w:val="24"/>
                <w:szCs w:val="24"/>
              </w:rPr>
            </w:pPr>
            <w:r>
              <w:rPr>
                <w:rFonts w:cs="Arial" w:ascii="Arial" w:hAnsi="Arial"/>
                <w:sz w:val="24"/>
                <w:szCs w:val="24"/>
              </w:rPr>
              <w:t>procedures and safe working practices of the Council and Social Services.</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b/>
                <w:sz w:val="24"/>
                <w:szCs w:val="24"/>
              </w:rPr>
            </w:pPr>
            <w:r>
              <w:rPr>
                <w:rFonts w:cs="Arial" w:ascii="Arial" w:hAnsi="Arial"/>
                <w:b/>
                <w:sz w:val="24"/>
                <w:szCs w:val="24"/>
              </w:rPr>
              <w:t>Confidentiality</w:t>
            </w:r>
          </w:p>
          <w:p>
            <w:pPr>
              <w:pStyle w:val="Normal"/>
              <w:rPr>
                <w:rFonts w:ascii="Arial" w:hAnsi="Arial" w:cs="Arial"/>
                <w:sz w:val="24"/>
                <w:szCs w:val="24"/>
              </w:rPr>
            </w:pPr>
            <w:r>
              <w:rPr>
                <w:rFonts w:cs="Arial" w:ascii="Arial" w:hAnsi="Arial"/>
                <w:sz w:val="24"/>
                <w:szCs w:val="24"/>
              </w:rPr>
              <w:t>To adhere to the Service’s Policies and Procedures on confidentiality and the management and sharing of information.</w:t>
            </w:r>
          </w:p>
          <w:p>
            <w:pPr>
              <w:pStyle w:val="Normal"/>
              <w:rPr>
                <w:rFonts w:ascii="Arial" w:hAnsi="Arial" w:cs="Arial"/>
                <w:sz w:val="24"/>
                <w:szCs w:val="24"/>
              </w:rPr>
            </w:pPr>
            <w:r>
              <w:rPr>
                <w:rFonts w:cs="Arial" w:ascii="Arial" w:hAnsi="Arial"/>
                <w:sz w:val="24"/>
                <w:szCs w:val="24"/>
              </w:rPr>
            </w:r>
          </w:p>
          <w:p>
            <w:pPr>
              <w:pStyle w:val="Normal"/>
              <w:rPr>
                <w:rFonts w:ascii="Arial" w:hAnsi="Arial" w:cs="Arial"/>
                <w:b/>
                <w:sz w:val="24"/>
                <w:szCs w:val="24"/>
              </w:rPr>
            </w:pPr>
            <w:r>
              <w:rPr>
                <w:rFonts w:cs="Arial" w:ascii="Arial" w:hAnsi="Arial"/>
                <w:b/>
                <w:sz w:val="24"/>
                <w:szCs w:val="24"/>
              </w:rPr>
              <w:t>Customer Care</w:t>
            </w:r>
          </w:p>
          <w:p>
            <w:pPr>
              <w:pStyle w:val="Normal"/>
              <w:rPr>
                <w:rFonts w:ascii="Arial" w:hAnsi="Arial" w:cs="Arial"/>
                <w:sz w:val="24"/>
                <w:szCs w:val="24"/>
              </w:rPr>
            </w:pPr>
            <w:r>
              <w:rPr>
                <w:rFonts w:cs="Arial" w:ascii="Arial" w:hAnsi="Arial"/>
                <w:sz w:val="24"/>
                <w:szCs w:val="24"/>
              </w:rPr>
              <w:t>To continually review and develop and improve systems, processes and services in supporting of the councils pursuit of excellence in service delivery. To recognise the value of its people as a resource.</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b/>
                <w:sz w:val="24"/>
                <w:szCs w:val="24"/>
              </w:rPr>
            </w:pPr>
            <w:r>
              <w:rPr>
                <w:rFonts w:cs="Arial" w:ascii="Arial" w:hAnsi="Arial"/>
                <w:b/>
                <w:sz w:val="24"/>
                <w:szCs w:val="24"/>
              </w:rPr>
              <w:t>Equalities and Diversity</w:t>
            </w:r>
          </w:p>
          <w:p>
            <w:pPr>
              <w:pStyle w:val="Normal"/>
              <w:rPr>
                <w:rFonts w:ascii="Arial" w:hAnsi="Arial" w:cs="Arial"/>
                <w:sz w:val="24"/>
                <w:szCs w:val="24"/>
              </w:rPr>
            </w:pPr>
            <w:r>
              <w:rPr>
                <w:rFonts w:cs="Arial" w:ascii="Arial" w:hAnsi="Arial"/>
                <w:sz w:val="24"/>
                <w:szCs w:val="24"/>
              </w:rPr>
              <w:t xml:space="preserve">To work within the Council’s Equalities and Diversity Policy, embracing through personal example, open commitment and clear action that diversity is positively valued, resulting in access for all ensuring fair treatment in employment, service delivery and external communication. </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b/>
                <w:sz w:val="24"/>
                <w:szCs w:val="24"/>
              </w:rPr>
            </w:pPr>
            <w:r>
              <w:rPr>
                <w:rFonts w:cs="Arial" w:ascii="Arial" w:hAnsi="Arial"/>
                <w:b/>
                <w:sz w:val="24"/>
                <w:szCs w:val="24"/>
              </w:rPr>
              <w:t>Training and Development</w:t>
            </w:r>
          </w:p>
          <w:p>
            <w:pPr>
              <w:pStyle w:val="Normal"/>
              <w:rPr>
                <w:rFonts w:ascii="Arial" w:hAnsi="Arial" w:cs="Arial"/>
                <w:sz w:val="24"/>
                <w:szCs w:val="24"/>
              </w:rPr>
            </w:pPr>
            <w:r>
              <w:rPr>
                <w:rFonts w:cs="Arial" w:ascii="Arial" w:hAnsi="Arial"/>
                <w:sz w:val="24"/>
                <w:szCs w:val="24"/>
              </w:rPr>
              <w:t>To identify training and development needs with your management team, taking an active part in your Personal Development and Review Plan. To access development opportunities as they arise and to share learning with others and where appropriate, actively encourage a learning environment and development within others.</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b/>
                <w:sz w:val="24"/>
                <w:szCs w:val="24"/>
              </w:rPr>
            </w:pPr>
            <w:r>
              <w:rPr>
                <w:rFonts w:cs="Arial" w:ascii="Arial" w:hAnsi="Arial"/>
                <w:b/>
                <w:sz w:val="24"/>
                <w:szCs w:val="24"/>
              </w:rPr>
              <w:t>Policy</w:t>
            </w:r>
          </w:p>
          <w:p>
            <w:pPr>
              <w:pStyle w:val="Normal"/>
              <w:rPr>
                <w:rFonts w:ascii="Arial" w:hAnsi="Arial" w:cs="Arial"/>
                <w:sz w:val="24"/>
                <w:szCs w:val="24"/>
              </w:rPr>
            </w:pPr>
            <w:r>
              <w:rPr>
                <w:rFonts w:cs="Arial" w:ascii="Arial" w:hAnsi="Arial"/>
                <w:sz w:val="24"/>
                <w:szCs w:val="24"/>
              </w:rPr>
              <w:t>To work at all times within the established policies and practices of the council, within the framework established by the council constitution and associated guidance.</w:t>
            </w:r>
          </w:p>
          <w:p>
            <w:pPr>
              <w:pStyle w:val="Normal"/>
              <w:jc w:val="center"/>
              <w:rPr/>
            </w:pPr>
            <w:r>
              <w:rPr/>
            </w:r>
          </w:p>
          <w:p>
            <w:pPr>
              <w:pStyle w:val="PlainText"/>
              <w:jc w:val="both"/>
              <w:rPr>
                <w:rFonts w:ascii="Verdana" w:hAnsi="Verdana" w:cs="Verdana"/>
                <w:sz w:val="22"/>
                <w:u w:val="single"/>
              </w:rPr>
            </w:pPr>
            <w:r>
              <w:rPr>
                <w:rFonts w:cs="Verdana" w:ascii="Verdana" w:hAnsi="Verdana"/>
                <w:sz w:val="22"/>
                <w:u w:val="single"/>
              </w:rPr>
            </w:r>
          </w:p>
          <w:p>
            <w:pPr>
              <w:pStyle w:val="PlainText"/>
              <w:jc w:val="both"/>
              <w:rPr>
                <w:rFonts w:ascii="Verdana" w:hAnsi="Verdana" w:cs="Verdana"/>
                <w:sz w:val="22"/>
                <w:u w:val="single"/>
              </w:rPr>
            </w:pPr>
            <w:r>
              <w:rPr>
                <w:rFonts w:cs="Verdana" w:ascii="Verdana" w:hAnsi="Verdana"/>
                <w:sz w:val="22"/>
                <w:u w:val="single"/>
              </w:rPr>
            </w:r>
          </w:p>
          <w:p>
            <w:pPr>
              <w:pStyle w:val="PlainText"/>
              <w:jc w:val="both"/>
              <w:rPr/>
            </w:pP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tc>
      </w:tr>
      <w:tr>
        <w:trPr/>
        <w:tc>
          <w:tcPr>
            <w:tcW w:w="11056" w:type="dxa"/>
            <w:gridSpan w:val="2"/>
            <w:tcBorders>
              <w:top w:val="single" w:sz="18" w:space="0" w:color="006666"/>
              <w:left w:val="single" w:sz="18" w:space="0" w:color="006666"/>
              <w:bottom w:val="single" w:sz="18" w:space="0" w:color="006666"/>
              <w:right w:val="single" w:sz="18" w:space="0" w:color="006666"/>
            </w:tcBorders>
          </w:tcPr>
          <w:p>
            <w:pPr>
              <w:pStyle w:val="Normal"/>
              <w:ind w:left="34" w:right="317"/>
              <w:jc w:val="both"/>
              <w:rPr>
                <w:rFonts w:ascii="Verdana" w:hAnsi="Verdana" w:cs="Verdana"/>
                <w:lang w:val="en-US"/>
              </w:rPr>
            </w:pPr>
            <w:r>
              <w:rPr>
                <w:rFonts w:cs="Verdana" w:ascii="Verdana" w:hAnsi="Verdana"/>
                <w:lang w:val="en-US"/>
              </w:rPr>
              <w:t>This Council is committed to safeguarding and promoting the welfare of children and young people and expects all staff within this area to share this commitment and to have understanding of the common core skills and knowledge.</w:t>
            </w:r>
          </w:p>
          <w:p>
            <w:pPr>
              <w:pStyle w:val="Level1"/>
              <w:jc w:val="both"/>
              <w:rPr>
                <w:rFonts w:ascii="Verdana" w:hAnsi="Verdana" w:cs="Verdana"/>
                <w:sz w:val="20"/>
              </w:rPr>
            </w:pPr>
            <w:r>
              <w:rPr>
                <w:rFonts w:cs="Verdana" w:ascii="Verdana" w:hAnsi="Verdana"/>
                <w:sz w:val="20"/>
              </w:rPr>
            </w:r>
          </w:p>
          <w:p>
            <w:pPr>
              <w:pStyle w:val="Level1"/>
              <w:jc w:val="both"/>
              <w:rPr>
                <w:rFonts w:ascii="Verdana" w:hAnsi="Verdana" w:cs="Verdana"/>
                <w:sz w:val="20"/>
              </w:rPr>
            </w:pPr>
            <w:r>
              <w:rPr>
                <w:rFonts w:cs="Verdana" w:ascii="Verdana" w:hAnsi="Verdana"/>
                <w:sz w:val="20"/>
              </w:rPr>
              <w:t>To work positively and inclusively with colleagues and customers so that the Council provides a workplace and delivers services that do not discriminate against people on the ground of their age, sexuality, religion or belief, race, gender or disabilities.</w:t>
            </w:r>
          </w:p>
          <w:p>
            <w:pPr>
              <w:pStyle w:val="Level1"/>
              <w:jc w:val="both"/>
              <w:rPr>
                <w:rFonts w:ascii="Verdana" w:hAnsi="Verdana" w:cs="Verdana"/>
                <w:sz w:val="20"/>
              </w:rPr>
            </w:pPr>
            <w:r>
              <w:rPr>
                <w:rFonts w:cs="Verdana" w:ascii="Verdana" w:hAnsi="Verdana"/>
                <w:sz w:val="20"/>
              </w:rPr>
            </w:r>
          </w:p>
          <w:p>
            <w:pPr>
              <w:pStyle w:val="Level1"/>
              <w:jc w:val="both"/>
              <w:rPr>
                <w:rFonts w:ascii="Verdana" w:hAnsi="Verdana" w:cs="Verdana"/>
                <w:sz w:val="20"/>
              </w:rPr>
            </w:pPr>
            <w:r>
              <w:rPr>
                <w:rFonts w:cs="Verdana" w:ascii="Verdana" w:hAnsi="Verdana"/>
                <w:sz w:val="20"/>
              </w:rPr>
              <w:t>To fulfill personal requirements, where appropriate, with regard to Council policies and procedures, health, safety and welfare, customer care, emergency, evacuation, security and promotion of the Council’s priorities.</w:t>
            </w:r>
          </w:p>
          <w:p>
            <w:pPr>
              <w:pStyle w:val="Level1"/>
              <w:jc w:val="both"/>
              <w:rPr>
                <w:rFonts w:ascii="Verdana" w:hAnsi="Verdana" w:cs="Verdana"/>
                <w:sz w:val="20"/>
              </w:rPr>
            </w:pPr>
            <w:r>
              <w:rPr>
                <w:rFonts w:cs="Verdana" w:ascii="Verdana" w:hAnsi="Verdana"/>
                <w:sz w:val="20"/>
              </w:rPr>
            </w:r>
          </w:p>
          <w:p>
            <w:pPr>
              <w:pStyle w:val="Normal"/>
              <w:rPr>
                <w:rFonts w:ascii="Verdana" w:hAnsi="Verdana" w:cs="Verdana"/>
              </w:rPr>
            </w:pPr>
            <w:r>
              <w:rPr>
                <w:rFonts w:cs="Verdana" w:ascii="Verdana" w:hAnsi="Verdana"/>
              </w:rPr>
              <w:t>To work flexibly in the interests of the service. This may include undertaking other duties provided that these are appropriate to the employee’s background, skills and abilities. Where this occurs there will be consultation with the employee and any necessary personal development will be taken into account.</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Title"/>
        <w:jc w:val="left"/>
        <w:rPr>
          <w:rFonts w:ascii="Verdana" w:hAnsi="Verdana" w:cs="Verdana"/>
          <w:sz w:val="28"/>
          <w:szCs w:val="28"/>
          <w:u w:val="none"/>
        </w:rPr>
      </w:pPr>
      <w:r>
        <w:rPr>
          <w:rFonts w:cs="Verdana" w:ascii="Verdana" w:hAnsi="Verdana"/>
          <w:sz w:val="28"/>
          <w:szCs w:val="28"/>
          <w:u w:val="none"/>
        </w:rPr>
      </w:r>
    </w:p>
    <w:p>
      <w:pPr>
        <w:pStyle w:val="Title"/>
        <w:jc w:val="left"/>
        <w:rPr>
          <w:rFonts w:ascii="Verdana" w:hAnsi="Verdana" w:cs="Verdana"/>
          <w:sz w:val="28"/>
          <w:szCs w:val="28"/>
          <w:u w:val="none"/>
        </w:rPr>
      </w:pPr>
      <w:r>
        <w:rPr>
          <w:rFonts w:cs="Verdana" w:ascii="Verdana" w:hAnsi="Verdana"/>
          <w:sz w:val="28"/>
          <w:szCs w:val="28"/>
          <w:u w:val="none"/>
        </w:rPr>
      </w:r>
    </w:p>
    <w:p>
      <w:pPr>
        <w:pStyle w:val="Title"/>
        <w:jc w:val="left"/>
        <w:rPr>
          <w:rFonts w:ascii="Verdana" w:hAnsi="Verdana" w:cs="Verdana"/>
          <w:sz w:val="28"/>
          <w:szCs w:val="28"/>
          <w:u w:val="none"/>
        </w:rPr>
      </w:pPr>
      <w:r>
        <w:rPr>
          <w:rFonts w:cs="Verdana" w:ascii="Verdana" w:hAnsi="Verdana"/>
          <w:sz w:val="28"/>
          <w:szCs w:val="28"/>
          <w:u w:val="none"/>
        </w:rPr>
      </w:r>
    </w:p>
    <w:p>
      <w:pPr>
        <w:pStyle w:val="Title"/>
        <w:jc w:val="left"/>
        <w:rPr>
          <w:rFonts w:ascii="Verdana" w:hAnsi="Verdana" w:cs="Verdana"/>
          <w:sz w:val="28"/>
          <w:szCs w:val="28"/>
          <w:u w:val="none"/>
        </w:rPr>
      </w:pPr>
      <w:r>
        <w:rPr>
          <w:rFonts w:cs="Verdana" w:ascii="Verdana" w:hAnsi="Verdana"/>
          <w:sz w:val="28"/>
          <w:szCs w:val="28"/>
          <w:u w:val="none"/>
        </w:rPr>
      </w:r>
    </w:p>
    <w:sectPr>
      <w:footerReference w:type="default" r:id="rId5"/>
      <w:type w:val="nextPage"/>
      <w:pgSz w:w="11906" w:h="16838"/>
      <w:pgMar w:left="425" w:right="567" w:gutter="0" w:header="0" w:top="425" w:footer="313" w:bottom="426"/>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ourier New">
    <w:charset w:val="00"/>
    <w:family w:val="roman"/>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behindDoc="0" distT="0" distB="0" distL="0" distR="0" simplePos="0" locked="0" layoutInCell="0" allowOverlap="1" relativeHeight="5">
              <wp:simplePos x="0" y="0"/>
              <wp:positionH relativeFrom="margin">
                <wp:align>center</wp:align>
              </wp:positionH>
              <wp:positionV relativeFrom="paragraph">
                <wp:posOffset>635</wp:posOffset>
              </wp:positionV>
              <wp:extent cx="63500" cy="146050"/>
              <wp:effectExtent l="0" t="0" r="0" b="0"/>
              <wp:wrapSquare wrapText="largest"/>
              <wp:docPr id="6" name="Frame2"/>
              <a:graphic xmlns:a="http://schemas.openxmlformats.org/drawingml/2006/main">
                <a:graphicData uri="http://schemas.microsoft.com/office/word/2010/wordprocessingShape">
                  <wps:wsp>
                    <wps:cNvSpPr txBox="1"/>
                    <wps:spPr>
                      <a:xfrm>
                        <a:off x="0" y="0"/>
                        <a:ext cx="63500" cy="146050"/>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5pt;height:11.5pt;mso-wrap-distance-left:0pt;mso-wrap-distance-right:0pt;mso-wrap-distance-top:0pt;mso-wrap-distance-bottom:0pt;margin-top:0.05pt;mso-position-vertical-relative:text;margin-left:270.35pt;mso-position-horizontal:center;mso-position-horizontal-relative:margin">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numPr>
        <w:ilvl w:val="0"/>
        <w:numId w:val="1"/>
      </w:numPr>
      <w:spacing w:before="240" w:after="60"/>
      <w:outlineLvl w:val="0"/>
    </w:pPr>
    <w:rPr>
      <w:rFonts w:ascii="Cambria" w:hAnsi="Cambria" w:cs="Cambria"/>
      <w:b/>
      <w:bCs/>
      <w:kern w:val="2"/>
      <w:sz w:val="32"/>
      <w:szCs w:val="32"/>
    </w:rPr>
  </w:style>
  <w:style w:type="paragraph" w:styleId="Heading2">
    <w:name w:val="Heading 2"/>
    <w:basedOn w:val="Normal"/>
    <w:next w:val="Normal"/>
    <w:qFormat/>
    <w:pPr>
      <w:keepNext w:val="true"/>
      <w:numPr>
        <w:ilvl w:val="1"/>
        <w:numId w:val="1"/>
      </w:numPr>
      <w:jc w:val="both"/>
      <w:outlineLvl w:val="1"/>
    </w:pPr>
    <w:rPr>
      <w:rFonts w:ascii="Times;Times New Roman" w:hAnsi="Times;Times New Roman" w:cs="Times;Times New Roman"/>
      <w:sz w:val="24"/>
      <w:u w:val="single"/>
    </w:rPr>
  </w:style>
  <w:style w:type="paragraph" w:styleId="Heading6">
    <w:name w:val="Heading 6"/>
    <w:basedOn w:val="Normal"/>
    <w:next w:val="Normal"/>
    <w:qFormat/>
    <w:pPr>
      <w:numPr>
        <w:ilvl w:val="5"/>
        <w:numId w:val="1"/>
      </w:numPr>
      <w:spacing w:before="240" w:after="60"/>
      <w:outlineLvl w:val="5"/>
    </w:pPr>
    <w:rPr>
      <w:rFonts w:ascii="Calibri" w:hAnsi="Calibri" w:cs="Calibri"/>
      <w:b/>
      <w:bCs/>
      <w:sz w:val="22"/>
      <w:szCs w:val="22"/>
    </w:rPr>
  </w:style>
  <w:style w:type="character" w:styleId="DefaultParagraphFont">
    <w:name w:val="Default Paragraph Font"/>
    <w:qFormat/>
    <w:rPr/>
  </w:style>
  <w:style w:type="character" w:styleId="pagenumber">
    <w:name w:val="page number"/>
    <w:basedOn w:val="DefaultParagraphFont"/>
    <w:qFormat/>
    <w:rPr/>
  </w:style>
  <w:style w:type="character" w:styleId="Heading6Char">
    <w:name w:val="Heading 6 Char"/>
    <w:qFormat/>
    <w:rPr>
      <w:rFonts w:ascii="Calibri" w:hAnsi="Calibri" w:eastAsia="Times New Roman" w:cs="Times New Roman"/>
      <w:b/>
      <w:bCs/>
      <w:sz w:val="22"/>
      <w:szCs w:val="22"/>
      <w:lang w:eastAsia="en-US"/>
    </w:rPr>
  </w:style>
  <w:style w:type="character" w:styleId="BodyTextChar">
    <w:name w:val="Body Text Char"/>
    <w:qFormat/>
    <w:rPr>
      <w:b/>
      <w:sz w:val="24"/>
      <w:lang w:eastAsia="en-US"/>
    </w:rPr>
  </w:style>
  <w:style w:type="character" w:styleId="BodyText2Char">
    <w:name w:val="Body Text 2 Char"/>
    <w:qFormat/>
    <w:rPr>
      <w:sz w:val="24"/>
      <w:lang w:eastAsia="en-US"/>
    </w:rPr>
  </w:style>
  <w:style w:type="character" w:styleId="Heading1Char">
    <w:name w:val="Heading 1 Char"/>
    <w:qFormat/>
    <w:rPr>
      <w:rFonts w:ascii="Cambria" w:hAnsi="Cambria" w:eastAsia="Times New Roman" w:cs="Times New Roman"/>
      <w:b/>
      <w:bCs/>
      <w:kern w:val="2"/>
      <w:sz w:val="32"/>
      <w:szCs w:val="32"/>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jc w:val="center"/>
    </w:pPr>
    <w:rPr>
      <w:b/>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jc w:val="center"/>
    </w:pPr>
    <w:rPr>
      <w:rFonts w:ascii="Arial" w:hAnsi="Arial" w:cs="Arial"/>
      <w:b/>
      <w:sz w:val="32"/>
      <w:u w:val="single"/>
    </w:rPr>
  </w:style>
  <w:style w:type="paragraph" w:styleId="Level1">
    <w:name w:val="Level 1"/>
    <w:qFormat/>
    <w:pPr>
      <w:widowControl w:val="false"/>
      <w:suppressAutoHyphens w:val="true"/>
      <w:bidi w:val="0"/>
      <w:spacing w:before="0" w:after="0"/>
      <w:jc w:val="left"/>
    </w:pPr>
    <w:rPr>
      <w:rFonts w:ascii="Times New Roman" w:hAnsi="Times New Roman" w:eastAsia="Times New Roman" w:cs="Times New Roman"/>
      <w:color w:val="auto"/>
      <w:kern w:val="0"/>
      <w:sz w:val="24"/>
      <w:szCs w:val="20"/>
      <w:lang w:val="en-US" w:eastAsia="en-US" w:bidi="ar-SA"/>
    </w:rPr>
  </w:style>
  <w:style w:type="paragraph" w:styleId="PlainText">
    <w:name w:val="Plain Text"/>
    <w:basedOn w:val="Normal"/>
    <w:qFormat/>
    <w:pPr/>
    <w:rPr>
      <w:rFonts w:ascii="Courier New" w:hAnsi="Courier New" w:cs="Courier New"/>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153" w:leader="none"/>
        <w:tab w:val="right" w:pos="8306" w:leader="none"/>
      </w:tabs>
    </w:pPr>
    <w:rPr/>
  </w:style>
  <w:style w:type="paragraph" w:styleId="BodyText2">
    <w:name w:val="Body Text 2"/>
    <w:basedOn w:val="Normal"/>
    <w:qFormat/>
    <w:pPr/>
    <w:rPr>
      <w:sz w:val="24"/>
    </w:rPr>
  </w:style>
  <w:style w:type="paragraph" w:styleId="TableText">
    <w:name w:val="Table Text"/>
    <w:basedOn w:val="Normal"/>
    <w:qFormat/>
    <w:pPr/>
    <w:rPr>
      <w:sz w:val="24"/>
      <w:lang w:val="en-US"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image" Target="media/image2.wmf"/><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