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color w:val="44494E"/>
          <w:sz w:val="40"/>
          <w:szCs w:val="40"/>
        </w:rPr>
      </w:pPr>
      <w:r>
        <w:rPr/>
        <w:drawing>
          <wp:inline distT="0" distB="0" distL="0" distR="0">
            <wp:extent cx="1518920" cy="17557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13" r="-15" b="-13"/>
                    <a:stretch>
                      <a:fillRect/>
                    </a:stretch>
                  </pic:blipFill>
                  <pic:spPr bwMode="auto">
                    <a:xfrm>
                      <a:off x="0" y="0"/>
                      <a:ext cx="1518920" cy="1755775"/>
                    </a:xfrm>
                    <a:prstGeom prst="rect">
                      <a:avLst/>
                    </a:prstGeom>
                  </pic:spPr>
                </pic:pic>
              </a:graphicData>
            </a:graphic>
          </wp:inline>
        </w:drawing>
      </w:r>
    </w:p>
    <w:p>
      <w:pPr>
        <w:pStyle w:val="Normal"/>
        <w:pBdr>
          <w:bottom w:val="single" w:sz="12" w:space="1" w:color="000000"/>
        </w:pBdr>
        <w:spacing w:lineRule="auto" w:line="240" w:before="0" w:after="0"/>
        <w:jc w:val="center"/>
        <w:rPr>
          <w:rFonts w:ascii="Arial" w:hAnsi="Arial" w:cs="Arial"/>
          <w:b/>
          <w:color w:val="44494E"/>
          <w:sz w:val="40"/>
          <w:szCs w:val="40"/>
        </w:rPr>
      </w:pPr>
      <w:r>
        <w:rPr>
          <w:rFonts w:cs="Arial" w:ascii="Arial" w:hAnsi="Arial"/>
          <w:b/>
          <w:color w:val="44494E"/>
          <w:sz w:val="40"/>
          <w:szCs w:val="40"/>
        </w:rPr>
        <w:t>Job Description &amp; Person Specification</w:t>
      </w:r>
    </w:p>
    <w:p>
      <w:pPr>
        <w:pStyle w:val="Normal"/>
        <w:pBdr>
          <w:bottom w:val="single" w:sz="12" w:space="1" w:color="000000"/>
        </w:pBdr>
        <w:spacing w:lineRule="auto" w:line="240" w:before="0" w:after="0"/>
        <w:jc w:val="center"/>
        <w:rPr>
          <w:rFonts w:ascii="Arial" w:hAnsi="Arial" w:cs="Arial"/>
          <w:b/>
          <w:color w:val="44494E"/>
          <w:sz w:val="16"/>
          <w:szCs w:val="40"/>
        </w:rPr>
      </w:pPr>
      <w:r>
        <w:rPr>
          <w:rFonts w:cs="Arial" w:ascii="Arial" w:hAnsi="Arial"/>
          <w:b/>
          <w:color w:val="44494E"/>
          <w:sz w:val="16"/>
          <w:szCs w:val="40"/>
        </w:rPr>
      </w:r>
    </w:p>
    <w:p>
      <w:pPr>
        <w:pStyle w:val="Normal"/>
        <w:spacing w:lineRule="auto" w:line="240" w:before="0" w:after="0"/>
        <w:rPr>
          <w:rFonts w:ascii="Arial" w:hAnsi="Arial" w:cs="Arial"/>
          <w:b/>
          <w:color w:val="44494E"/>
          <w:sz w:val="16"/>
          <w:szCs w:val="40"/>
        </w:rPr>
      </w:pPr>
      <w:r>
        <w:rPr>
          <w:rFonts w:cs="Arial" w:ascii="Arial" w:hAnsi="Arial"/>
          <w:b/>
          <w:color w:val="44494E"/>
          <w:sz w:val="16"/>
          <w:szCs w:val="40"/>
        </w:rPr>
      </w:r>
    </w:p>
    <w:p>
      <w:pPr>
        <w:pStyle w:val="Normal"/>
        <w:spacing w:lineRule="auto" w:line="240" w:before="0" w:after="0"/>
        <w:rPr/>
      </w:pPr>
      <w:r>
        <w:rPr>
          <w:rFonts w:cs="Arial" w:ascii="Arial" w:hAnsi="Arial"/>
          <w:b/>
          <w:color w:val="44494E"/>
        </w:rPr>
        <w:t xml:space="preserve">Job Title: </w:t>
      </w:r>
      <w:r>
        <w:rPr>
          <w:rFonts w:cs="Arial" w:ascii="Arial" w:hAnsi="Arial"/>
          <w:color w:val="44494E"/>
        </w:rPr>
        <w:t>Kids Club Activity Leader</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pPr>
      <w:r>
        <w:rPr>
          <w:rFonts w:cs="Arial" w:ascii="Arial" w:hAnsi="Arial"/>
          <w:b/>
          <w:color w:val="44494E"/>
        </w:rPr>
        <w:t xml:space="preserve">Scale: </w:t>
      </w:r>
      <w:r>
        <w:rPr>
          <w:rFonts w:cs="Arial" w:ascii="Arial" w:hAnsi="Arial"/>
          <w:color w:val="44494E"/>
        </w:rPr>
        <w:t>Scale 2</w:t>
      </w:r>
      <w:r>
        <w:rPr>
          <w:rFonts w:cs="Arial" w:ascii="Arial" w:hAnsi="Arial"/>
          <w:b/>
          <w:color w:val="44494E"/>
        </w:rPr>
        <w:tab/>
        <w:tab/>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Job Purpose:</w:t>
      </w:r>
    </w:p>
    <w:p>
      <w:pPr>
        <w:pStyle w:val="Normal"/>
        <w:spacing w:lineRule="auto" w:line="240" w:before="0" w:after="0"/>
        <w:rPr>
          <w:rFonts w:ascii="Arial" w:hAnsi="Arial" w:cs="Arial"/>
          <w:b/>
          <w:color w:val="44494E"/>
        </w:rPr>
      </w:pPr>
      <w:r>
        <w:rPr>
          <w:rFonts w:cs="Arial" w:ascii="Arial" w:hAnsi="Arial"/>
          <w:b/>
          <w:color w:val="44494E"/>
        </w:rPr>
      </w:r>
    </w:p>
    <w:p>
      <w:pPr>
        <w:pStyle w:val="ListParagraph"/>
        <w:numPr>
          <w:ilvl w:val="0"/>
          <w:numId w:val="5"/>
        </w:numPr>
        <w:jc w:val="both"/>
        <w:rPr/>
      </w:pPr>
      <w:r>
        <w:rPr>
          <w:rFonts w:cs="Arial" w:ascii="Arial" w:hAnsi="Arial"/>
          <w:color w:val="44494E"/>
        </w:rPr>
        <w:t>To provide a high quality, child-centred play setting.</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 xml:space="preserve">Reporting Arrangements </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pPr>
      <w:r>
        <w:rPr>
          <w:rFonts w:cs="Arial" w:ascii="Arial" w:hAnsi="Arial"/>
          <w:b/>
          <w:color w:val="44494E"/>
        </w:rPr>
        <w:t xml:space="preserve">Reporting to: </w:t>
      </w:r>
      <w:r>
        <w:rPr>
          <w:rFonts w:cs="Arial" w:ascii="Arial" w:hAnsi="Arial"/>
          <w:color w:val="44494E"/>
        </w:rPr>
        <w:t>Kids Club Manager</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cs="Arial"/>
          <w:b/>
          <w:color w:val="44494E"/>
        </w:rPr>
      </w:pPr>
      <w:r>
        <w:rPr>
          <w:rFonts w:cs="Arial" w:ascii="Arial" w:hAnsi="Arial"/>
          <w:b/>
          <w:color w:val="44494E"/>
        </w:rPr>
        <w:t xml:space="preserve">Main Responsibilities: </w:t>
      </w:r>
    </w:p>
    <w:p>
      <w:pPr>
        <w:pStyle w:val="Normal"/>
        <w:spacing w:lineRule="auto" w:line="240" w:before="0" w:after="0"/>
        <w:jc w:val="both"/>
        <w:rPr>
          <w:rFonts w:ascii="Arial" w:hAnsi="Arial" w:cs="Arial"/>
          <w:b/>
          <w:color w:val="44494E"/>
        </w:rPr>
      </w:pPr>
      <w:r>
        <w:rPr>
          <w:rFonts w:cs="Arial" w:ascii="Arial" w:hAnsi="Arial"/>
          <w:b/>
          <w:color w:val="44494E"/>
        </w:rPr>
      </w:r>
    </w:p>
    <w:p>
      <w:pPr>
        <w:pStyle w:val="ListParagraph"/>
        <w:numPr>
          <w:ilvl w:val="0"/>
          <w:numId w:val="6"/>
        </w:numPr>
        <w:spacing w:before="0" w:after="70"/>
        <w:contextualSpacing/>
        <w:jc w:val="both"/>
        <w:rPr/>
      </w:pPr>
      <w:r>
        <w:rPr>
          <w:rFonts w:cs="Arial" w:ascii="Arial" w:hAnsi="Arial"/>
          <w:color w:val="44494E"/>
        </w:rPr>
        <w:t>Provide a high quality, child-centred play setting that meets the needs of all children and their families, including those with additional needs.</w:t>
      </w:r>
    </w:p>
    <w:p>
      <w:pPr>
        <w:pStyle w:val="ListParagraph"/>
        <w:numPr>
          <w:ilvl w:val="0"/>
          <w:numId w:val="6"/>
        </w:numPr>
        <w:spacing w:before="0" w:after="70"/>
        <w:contextualSpacing/>
        <w:jc w:val="both"/>
        <w:rPr/>
      </w:pPr>
      <w:r>
        <w:rPr>
          <w:rFonts w:cs="Arial" w:ascii="Arial" w:hAnsi="Arial"/>
          <w:color w:val="44494E"/>
        </w:rPr>
        <w:t>Assist in the day-to-day organisation and operation of the setting in line with Trust policy.</w:t>
      </w:r>
    </w:p>
    <w:p>
      <w:pPr>
        <w:pStyle w:val="ListParagraph"/>
        <w:numPr>
          <w:ilvl w:val="0"/>
          <w:numId w:val="6"/>
        </w:numPr>
        <w:spacing w:before="0" w:after="70"/>
        <w:contextualSpacing/>
        <w:jc w:val="both"/>
        <w:rPr/>
      </w:pPr>
      <w:r>
        <w:rPr>
          <w:rFonts w:cs="Arial" w:ascii="Arial" w:hAnsi="Arial"/>
          <w:color w:val="44494E"/>
        </w:rPr>
        <w:t>Provide a safe, stimulating environment, ensuring toys and resources are properly used, maintained and stored, reporting any worn/damaged materials to the Manager.</w:t>
      </w:r>
    </w:p>
    <w:p>
      <w:pPr>
        <w:pStyle w:val="ListParagraph"/>
        <w:numPr>
          <w:ilvl w:val="0"/>
          <w:numId w:val="6"/>
        </w:numPr>
        <w:spacing w:before="0" w:after="70"/>
        <w:contextualSpacing/>
        <w:jc w:val="both"/>
        <w:rPr/>
      </w:pPr>
      <w:r>
        <w:rPr>
          <w:rFonts w:cs="Arial" w:ascii="Arial" w:hAnsi="Arial"/>
          <w:color w:val="44494E"/>
        </w:rPr>
        <w:t>Supervise children, organising/preparing appropriate play-based activities and ensuring the environment is left in a clean and tidy condition at the end of each session.</w:t>
      </w:r>
    </w:p>
    <w:p>
      <w:pPr>
        <w:pStyle w:val="ListParagraph"/>
        <w:numPr>
          <w:ilvl w:val="0"/>
          <w:numId w:val="6"/>
        </w:numPr>
        <w:spacing w:before="0" w:after="70"/>
        <w:contextualSpacing/>
        <w:jc w:val="both"/>
        <w:rPr/>
      </w:pPr>
      <w:r>
        <w:rPr>
          <w:rFonts w:cs="Arial" w:ascii="Arial" w:hAnsi="Arial"/>
          <w:color w:val="44494E"/>
        </w:rPr>
        <w:t>Ensure the safety of all children in the event of an emergency and administer first aid when necessary.</w:t>
      </w:r>
    </w:p>
    <w:p>
      <w:pPr>
        <w:pStyle w:val="ListParagraph"/>
        <w:numPr>
          <w:ilvl w:val="0"/>
          <w:numId w:val="6"/>
        </w:numPr>
        <w:spacing w:before="0" w:after="70"/>
        <w:contextualSpacing/>
        <w:jc w:val="both"/>
        <w:rPr/>
      </w:pPr>
      <w:r>
        <w:rPr>
          <w:rFonts w:cs="Arial" w:ascii="Arial" w:hAnsi="Arial"/>
          <w:color w:val="44494E"/>
        </w:rPr>
        <w:t>Record and monitor the safe arrival and departure of children in line with agreed policy.</w:t>
      </w:r>
    </w:p>
    <w:p>
      <w:pPr>
        <w:pStyle w:val="ListParagraph"/>
        <w:numPr>
          <w:ilvl w:val="0"/>
          <w:numId w:val="6"/>
        </w:numPr>
        <w:spacing w:before="0" w:after="70"/>
        <w:contextualSpacing/>
        <w:jc w:val="both"/>
        <w:rPr/>
      </w:pPr>
      <w:r>
        <w:rPr>
          <w:rFonts w:cs="Arial" w:ascii="Arial" w:hAnsi="Arial"/>
          <w:color w:val="44494E"/>
        </w:rPr>
        <w:t>Communicate effectively with parents and carers.</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Trust Responsibilities:</w:t>
      </w:r>
    </w:p>
    <w:p>
      <w:pPr>
        <w:pStyle w:val="Normal"/>
        <w:spacing w:lineRule="auto" w:line="240" w:before="0" w:after="0"/>
        <w:rPr>
          <w:rFonts w:ascii="Arial" w:hAnsi="Arial" w:cs="Arial"/>
          <w:b/>
          <w:color w:val="44494E"/>
        </w:rPr>
      </w:pPr>
      <w:r>
        <w:rPr>
          <w:rFonts w:cs="Arial" w:ascii="Arial" w:hAnsi="Arial"/>
          <w:b/>
          <w:color w:val="44494E"/>
        </w:rPr>
      </w:r>
    </w:p>
    <w:p>
      <w:pPr>
        <w:pStyle w:val="ListParagraph"/>
        <w:numPr>
          <w:ilvl w:val="0"/>
          <w:numId w:val="1"/>
        </w:numPr>
        <w:spacing w:lineRule="auto" w:line="240" w:before="0" w:after="0"/>
        <w:contextualSpacing/>
        <w:jc w:val="both"/>
        <w:rPr/>
      </w:pPr>
      <w:r>
        <w:rPr>
          <w:rFonts w:cs="Arial" w:ascii="Arial" w:hAnsi="Arial"/>
          <w:color w:val="44494E"/>
        </w:rPr>
        <w:t>Adhere to all Trust policies and procedures.</w:t>
      </w:r>
    </w:p>
    <w:p>
      <w:pPr>
        <w:pStyle w:val="ListParagraph"/>
        <w:numPr>
          <w:ilvl w:val="0"/>
          <w:numId w:val="1"/>
        </w:numPr>
        <w:spacing w:lineRule="auto" w:line="240" w:before="0" w:after="0"/>
        <w:contextualSpacing/>
        <w:jc w:val="both"/>
        <w:rPr/>
      </w:pPr>
      <w:r>
        <w:rPr>
          <w:rFonts w:cs="Arial" w:ascii="Arial" w:hAnsi="Arial"/>
          <w:color w:val="44494E"/>
        </w:rPr>
        <w:t>Take responsibility for promoting and safeguarding the welfare of all pupils.</w:t>
      </w:r>
    </w:p>
    <w:p>
      <w:pPr>
        <w:pStyle w:val="ListParagraph"/>
        <w:numPr>
          <w:ilvl w:val="0"/>
          <w:numId w:val="1"/>
        </w:numPr>
        <w:tabs>
          <w:tab w:val="clear" w:pos="720"/>
          <w:tab w:val="left" w:pos="142" w:leader="none"/>
          <w:tab w:val="left" w:pos="426" w:leader="none"/>
          <w:tab w:val="left" w:pos="1276" w:leader="none"/>
        </w:tabs>
        <w:spacing w:lineRule="auto" w:line="240" w:before="0" w:after="0"/>
        <w:contextualSpacing/>
        <w:jc w:val="both"/>
        <w:rPr/>
      </w:pPr>
      <w:r>
        <w:rPr>
          <w:rFonts w:cs="Arial" w:ascii="Arial" w:hAnsi="Arial"/>
          <w:color w:val="44494E"/>
        </w:rPr>
        <w:t>Demonstrate commitment to the Equal Opportunities Policy, to work positively and inclusively with colleagues so that the Trust provides a workplace and delivers services that do not discriminate against people on the grounds of their age, gender, sexual orientation, marital status, race, religion, creed, colour, nationality, ethnic origin or disability.</w:t>
      </w:r>
    </w:p>
    <w:p>
      <w:pPr>
        <w:pStyle w:val="ListParagraph"/>
        <w:numPr>
          <w:ilvl w:val="0"/>
          <w:numId w:val="1"/>
        </w:numPr>
        <w:spacing w:lineRule="auto" w:line="240" w:before="0" w:after="0"/>
        <w:contextualSpacing/>
        <w:jc w:val="both"/>
        <w:rPr/>
      </w:pPr>
      <w:r>
        <w:rPr>
          <w:rFonts w:cs="Arial" w:ascii="Arial" w:hAnsi="Arial"/>
          <w:color w:val="44494E"/>
        </w:rPr>
        <w:t>Work flexibly in the interests of the service (this may include undertaking other duties provided that these are appropriate to the employee’s background, skills and abilities).</w:t>
      </w:r>
    </w:p>
    <w:p>
      <w:pPr>
        <w:pStyle w:val="ListParagraph"/>
        <w:numPr>
          <w:ilvl w:val="0"/>
          <w:numId w:val="1"/>
        </w:numPr>
        <w:spacing w:lineRule="auto" w:line="240" w:before="0" w:after="0"/>
        <w:contextualSpacing/>
        <w:jc w:val="both"/>
        <w:rPr/>
      </w:pPr>
      <w:r>
        <w:rPr>
          <w:rFonts w:cs="Arial" w:ascii="Arial" w:hAnsi="Arial"/>
          <w:color w:val="44494E"/>
        </w:rPr>
        <w:t>Travel between different sites of the Laurus Trust as required.</w:t>
      </w:r>
    </w:p>
    <w:p>
      <w:pPr>
        <w:pStyle w:val="ListParagraph"/>
        <w:numPr>
          <w:ilvl w:val="0"/>
          <w:numId w:val="1"/>
        </w:numPr>
        <w:spacing w:lineRule="auto" w:line="240" w:before="0" w:after="0"/>
        <w:contextualSpacing/>
        <w:jc w:val="both"/>
        <w:rPr/>
      </w:pPr>
      <w:r>
        <w:rPr>
          <w:rFonts w:cs="Arial" w:ascii="Arial" w:hAnsi="Arial"/>
          <w:color w:val="44494E"/>
        </w:rPr>
        <w:t>Actively participate in performance reviews at regular intervals in accordance with Trust procedures.</w:t>
      </w:r>
    </w:p>
    <w:p>
      <w:pPr>
        <w:pStyle w:val="ListParagraph"/>
        <w:numPr>
          <w:ilvl w:val="0"/>
          <w:numId w:val="1"/>
        </w:numPr>
        <w:spacing w:lineRule="auto" w:line="240" w:before="0" w:after="0"/>
        <w:contextualSpacing/>
        <w:jc w:val="both"/>
        <w:rPr/>
      </w:pPr>
      <w:r>
        <w:rPr>
          <w:rFonts w:cs="Arial" w:ascii="Arial" w:hAnsi="Arial"/>
          <w:color w:val="44494E"/>
        </w:rPr>
        <w:t>Undertake training courses organised by the Trust where these will assist in the carrying out of the above duties, develop skills which may be required to fulfil those duties in the future or are required to fulfil legal requirements.</w:t>
      </w:r>
    </w:p>
    <w:p>
      <w:pPr>
        <w:pStyle w:val="ListParagraph"/>
        <w:numPr>
          <w:ilvl w:val="0"/>
          <w:numId w:val="1"/>
        </w:numPr>
        <w:spacing w:lineRule="auto" w:line="240" w:before="0" w:after="0"/>
        <w:contextualSpacing/>
        <w:jc w:val="both"/>
        <w:rPr/>
      </w:pPr>
      <w:r>
        <w:rPr>
          <w:rFonts w:cs="Arial" w:ascii="Arial" w:hAnsi="Arial"/>
          <w:color w:val="44494E"/>
        </w:rPr>
        <w:t>Refrain from smoking in any areas of Trust premises.</w:t>
      </w:r>
    </w:p>
    <w:p>
      <w:pPr>
        <w:pStyle w:val="ListParagraph"/>
        <w:numPr>
          <w:ilvl w:val="0"/>
          <w:numId w:val="1"/>
        </w:numPr>
        <w:spacing w:lineRule="auto" w:line="240" w:before="0" w:after="0"/>
        <w:contextualSpacing/>
        <w:jc w:val="both"/>
        <w:rPr/>
      </w:pPr>
      <w:r>
        <w:rPr>
          <w:rFonts w:cs="Arial" w:ascii="Arial" w:hAnsi="Arial"/>
          <w:color w:val="44494E"/>
        </w:rPr>
        <w:t>Behave in a manner that ensures the security of property and resources.</w:t>
      </w:r>
      <w:bookmarkStart w:id="0" w:name="_Hlk48132998"/>
    </w:p>
    <w:p>
      <w:pPr>
        <w:pStyle w:val="ListParagraph"/>
        <w:numPr>
          <w:ilvl w:val="0"/>
          <w:numId w:val="1"/>
        </w:numPr>
        <w:spacing w:lineRule="auto" w:line="240" w:before="0" w:after="0"/>
        <w:contextualSpacing/>
        <w:jc w:val="both"/>
        <w:rPr/>
      </w:pPr>
      <w:r>
        <w:rPr>
          <w:rFonts w:cs="Arial" w:ascii="Arial" w:hAnsi="Arial"/>
          <w:color w:val="44494E"/>
        </w:rPr>
        <w:t>Demonstrate consistently high standards of personal and professional conduct</w:t>
      </w:r>
      <w:bookmarkStart w:id="1" w:name="_Hlk48133541"/>
      <w:bookmarkEnd w:id="0"/>
      <w:r>
        <w:rPr>
          <w:rFonts w:cs="Arial" w:ascii="Arial" w:hAnsi="Arial"/>
          <w:color w:val="44494E"/>
        </w:rPr>
        <w:t xml:space="preserve"> as defined in The Laurus Trust Code of Conduct Policy. </w:t>
      </w:r>
      <w:bookmarkEnd w:id="1"/>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Safeguarding:</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cs="Arial"/>
          <w:color w:val="44494E"/>
        </w:rPr>
      </w:pPr>
      <w:r>
        <w:rPr>
          <w:rFonts w:cs="Arial" w:ascii="Arial" w:hAnsi="Arial"/>
          <w:color w:val="44494E"/>
        </w:rPr>
        <w:t xml:space="preserve">The Laurus Trust and its affiliated schools are committed to safeguarding and protecting the children and young people that we work with. As such, all posts are subject to a safer recruitment process, including the disclosure of criminal records and vetting checks. The post holder will be required to complete an enhanced Disclosure Barring Service (DBS) Check with appropriate barred list checks, or the equivalent, and must be eligible to work in the UK. </w:t>
      </w:r>
    </w:p>
    <w:p>
      <w:pPr>
        <w:pStyle w:val="Normal"/>
        <w:spacing w:lineRule="auto" w:line="240" w:before="0" w:after="0"/>
        <w:jc w:val="both"/>
        <w:rPr>
          <w:rFonts w:ascii="Arial" w:hAnsi="Arial" w:cs="Arial"/>
          <w:color w:val="44494E"/>
        </w:rPr>
      </w:pPr>
      <w:r>
        <w:rPr>
          <w:rFonts w:cs="Arial" w:ascii="Arial" w:hAnsi="Arial"/>
          <w:color w:val="44494E"/>
        </w:rPr>
      </w:r>
    </w:p>
    <w:p>
      <w:pPr>
        <w:pStyle w:val="Normal"/>
        <w:spacing w:lineRule="auto" w:line="240" w:before="0" w:after="0"/>
        <w:jc w:val="both"/>
        <w:rPr>
          <w:rFonts w:ascii="Arial" w:hAnsi="Arial" w:cs="Arial"/>
          <w:color w:val="44494E"/>
        </w:rPr>
      </w:pPr>
      <w:r>
        <w:rPr>
          <w:rFonts w:cs="Arial" w:ascii="Arial" w:hAnsi="Arial"/>
          <w:color w:val="44494E"/>
        </w:rPr>
        <w:t>We ensure that we have a range of policies and procedures in place which promote safeguarding and safer working practice across the school. This is in line with statutory guidance Keeping Children Safe in Education and The Education Act, we expect all staff and volunteers to share this commitment.</w:t>
      </w:r>
    </w:p>
    <w:p>
      <w:pPr>
        <w:pStyle w:val="Normal"/>
        <w:pBdr>
          <w:bottom w:val="single" w:sz="12" w:space="1" w:color="000000"/>
        </w:pBdr>
        <w:spacing w:lineRule="auto" w:line="240" w:before="0" w:after="0"/>
        <w:rPr>
          <w:rFonts w:ascii="Arial" w:hAnsi="Arial" w:cs="Arial"/>
          <w:color w:val="44494E"/>
        </w:rPr>
      </w:pPr>
      <w:r>
        <w:rPr>
          <w:rFonts w:cs="Arial" w:ascii="Arial" w:hAnsi="Arial"/>
          <w:color w:val="44494E"/>
        </w:rPr>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t>Core Behaviours:</w:t>
      </w:r>
    </w:p>
    <w:p>
      <w:pPr>
        <w:pStyle w:val="Normal"/>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jc w:val="both"/>
        <w:rPr>
          <w:rFonts w:ascii="Arial" w:hAnsi="Arial" w:eastAsia="Times New Roman" w:cs="Arial"/>
          <w:color w:val="44494E"/>
        </w:rPr>
      </w:pPr>
      <w:r>
        <w:rPr>
          <w:rFonts w:eastAsia="Times New Roman" w:cs="Arial" w:ascii="Arial" w:hAnsi="Arial"/>
          <w:color w:val="44494E"/>
        </w:rPr>
        <w:t>It’s important for all Support Staff to be able to demonstrate some or all of the core behaviours on a regular/daily basis:</w:t>
      </w:r>
    </w:p>
    <w:p>
      <w:pPr>
        <w:pStyle w:val="ListParagraph"/>
        <w:spacing w:lineRule="auto" w:line="240" w:before="0" w:after="0"/>
        <w:contextualSpacing/>
        <w:jc w:val="both"/>
        <w:rPr>
          <w:rFonts w:ascii="Arial" w:hAnsi="Arial" w:cs="Arial"/>
          <w:color w:val="44494E"/>
        </w:rPr>
      </w:pPr>
      <w:r>
        <w:rPr>
          <w:rFonts w:cs="Arial" w:ascii="Arial" w:hAnsi="Arial"/>
          <w:color w:val="44494E"/>
        </w:rPr>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A</w:t>
      </w:r>
      <w:r>
        <w:rPr>
          <w:rFonts w:eastAsia="Times New Roman" w:cs="Arial" w:ascii="Arial" w:hAnsi="Arial"/>
          <w:color w:val="44494E"/>
          <w:lang w:val="en" w:eastAsia="en-GB"/>
        </w:rPr>
        <w:t>daptable</w:t>
        <w:tab/>
        <w:tab/>
        <w:t xml:space="preserve">- </w:t>
      </w:r>
      <w:r>
        <w:rPr>
          <w:rFonts w:cs="Arial" w:ascii="Arial" w:hAnsi="Arial"/>
          <w:color w:val="44494E"/>
        </w:rPr>
        <w:t>Open to change, to be flexible.</w:t>
      </w:r>
    </w:p>
    <w:p>
      <w:pPr>
        <w:pStyle w:val="ListParagraph"/>
        <w:widowControl w:val="false"/>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C</w:t>
      </w:r>
      <w:r>
        <w:rPr>
          <w:rFonts w:eastAsia="Times New Roman" w:cs="Arial" w:ascii="Arial" w:hAnsi="Arial"/>
          <w:color w:val="44494E"/>
          <w:lang w:val="en" w:eastAsia="en-GB"/>
        </w:rPr>
        <w:t>ourageous</w:t>
        <w:tab/>
        <w:tab/>
        <w:t xml:space="preserve">- </w:t>
      </w:r>
      <w:r>
        <w:rPr>
          <w:rFonts w:cs="Arial" w:ascii="Arial" w:hAnsi="Arial"/>
          <w:color w:val="44494E"/>
        </w:rPr>
        <w:t>Willing to speak up, offer ideas, challenge the norm.</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H</w:t>
      </w:r>
      <w:r>
        <w:rPr>
          <w:rFonts w:eastAsia="Times New Roman" w:cs="Arial" w:ascii="Arial" w:hAnsi="Arial"/>
          <w:color w:val="44494E"/>
          <w:lang w:val="en" w:eastAsia="en-GB"/>
        </w:rPr>
        <w:t>ard Working</w:t>
        <w:tab/>
        <w:t xml:space="preserve">- </w:t>
      </w:r>
      <w:r>
        <w:rPr>
          <w:rFonts w:cs="Arial" w:ascii="Arial" w:hAnsi="Arial"/>
          <w:color w:val="44494E"/>
        </w:rPr>
        <w:t>Strong work ethic, prepared to go the extra mile.</w:t>
      </w:r>
    </w:p>
    <w:p>
      <w:pPr>
        <w:pStyle w:val="ListParagraph"/>
        <w:widowControl w:val="false"/>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I</w:t>
      </w:r>
      <w:r>
        <w:rPr>
          <w:rFonts w:eastAsia="Times New Roman" w:cs="Arial" w:ascii="Arial" w:hAnsi="Arial"/>
          <w:color w:val="44494E"/>
          <w:lang w:val="en" w:eastAsia="en-GB"/>
        </w:rPr>
        <w:t>nclusive</w:t>
        <w:tab/>
        <w:tab/>
        <w:t xml:space="preserve">- </w:t>
      </w:r>
      <w:r>
        <w:rPr>
          <w:rFonts w:cs="Arial" w:ascii="Arial" w:hAnsi="Arial"/>
          <w:color w:val="44494E"/>
        </w:rPr>
        <w:t>Treat others fairly and equally.</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E</w:t>
      </w:r>
      <w:r>
        <w:rPr>
          <w:rFonts w:eastAsia="Times New Roman" w:cs="Arial" w:ascii="Arial" w:hAnsi="Arial"/>
          <w:color w:val="44494E"/>
          <w:lang w:val="en" w:eastAsia="en-GB"/>
        </w:rPr>
        <w:t>ngaged</w:t>
        <w:tab/>
        <w:tab/>
        <w:t xml:space="preserve">- </w:t>
      </w:r>
      <w:r>
        <w:rPr>
          <w:rFonts w:cs="Arial" w:ascii="Arial" w:hAnsi="Arial"/>
          <w:color w:val="44494E"/>
        </w:rPr>
        <w:t>Involved/absorbed in your work, participate at all times.</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V</w:t>
      </w:r>
      <w:r>
        <w:rPr>
          <w:rFonts w:eastAsia="Times New Roman" w:cs="Arial" w:ascii="Arial" w:hAnsi="Arial"/>
          <w:color w:val="44494E"/>
          <w:lang w:val="en" w:eastAsia="en-GB"/>
        </w:rPr>
        <w:t>alue</w:t>
        <w:tab/>
        <w:tab/>
        <w:tab/>
        <w:t xml:space="preserve">- </w:t>
      </w:r>
      <w:r>
        <w:rPr>
          <w:rFonts w:cs="Arial" w:ascii="Arial" w:hAnsi="Arial"/>
          <w:color w:val="44494E"/>
        </w:rPr>
        <w:t>Add value to your role, your team and the Trust.</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E</w:t>
      </w:r>
      <w:r>
        <w:rPr>
          <w:rFonts w:eastAsia="Times New Roman" w:cs="Arial" w:ascii="Arial" w:hAnsi="Arial"/>
          <w:color w:val="44494E"/>
          <w:lang w:val="en" w:eastAsia="en-GB"/>
        </w:rPr>
        <w:t>nquiring</w:t>
        <w:tab/>
        <w:tab/>
        <w:t>- H</w:t>
      </w:r>
      <w:r>
        <w:rPr>
          <w:rFonts w:cs="Arial" w:ascii="Arial" w:hAnsi="Arial"/>
          <w:color w:val="44494E"/>
        </w:rPr>
        <w:t>ave an enquiring mind, curious, improve and find solutions.</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M</w:t>
      </w:r>
      <w:r>
        <w:rPr>
          <w:rFonts w:eastAsia="Times New Roman" w:cs="Arial" w:ascii="Arial" w:hAnsi="Arial"/>
          <w:color w:val="44494E"/>
          <w:lang w:val="en" w:eastAsia="en-GB"/>
        </w:rPr>
        <w:t>otivated</w:t>
        <w:tab/>
        <w:tab/>
        <w:t>- P</w:t>
      </w:r>
      <w:r>
        <w:rPr>
          <w:rFonts w:cs="Arial" w:ascii="Arial" w:hAnsi="Arial"/>
          <w:color w:val="44494E"/>
        </w:rPr>
        <w:t>ro-active, wanting to achieve goals, willingness to try, can do attitude.</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E</w:t>
      </w:r>
      <w:r>
        <w:rPr>
          <w:rFonts w:eastAsia="Times New Roman" w:cs="Arial" w:ascii="Arial" w:hAnsi="Arial"/>
          <w:color w:val="44494E"/>
          <w:lang w:val="en" w:eastAsia="en-GB"/>
        </w:rPr>
        <w:t>ncouraging</w:t>
        <w:tab/>
        <w:tab/>
        <w:t xml:space="preserve">- </w:t>
      </w:r>
      <w:r>
        <w:rPr>
          <w:rFonts w:cs="Arial" w:ascii="Arial" w:hAnsi="Arial"/>
          <w:color w:val="44494E"/>
        </w:rPr>
        <w:t>Giving/offering support and confidence to others, working together.</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N</w:t>
      </w:r>
      <w:r>
        <w:rPr>
          <w:rFonts w:eastAsia="Times New Roman" w:cs="Arial" w:ascii="Arial" w:hAnsi="Arial"/>
          <w:color w:val="44494E"/>
          <w:lang w:val="en" w:eastAsia="en-GB"/>
        </w:rPr>
        <w:t>avigator</w:t>
        <w:tab/>
        <w:tab/>
        <w:t xml:space="preserve">- </w:t>
      </w:r>
      <w:r>
        <w:rPr>
          <w:rFonts w:cs="Arial" w:ascii="Arial" w:hAnsi="Arial"/>
          <w:color w:val="44494E"/>
        </w:rPr>
        <w:t>Providing guidance, leading when necessary.</w:t>
      </w:r>
    </w:p>
    <w:p>
      <w:pPr>
        <w:pStyle w:val="ListParagraph"/>
        <w:numPr>
          <w:ilvl w:val="0"/>
          <w:numId w:val="2"/>
        </w:numPr>
        <w:spacing w:lineRule="auto" w:line="240" w:before="0" w:after="0"/>
        <w:ind w:hanging="425" w:left="851" w:right="0"/>
        <w:contextualSpacing/>
        <w:jc w:val="both"/>
        <w:rPr/>
      </w:pPr>
      <w:r>
        <w:rPr>
          <w:rFonts w:eastAsia="Times New Roman" w:cs="Arial" w:ascii="Arial" w:hAnsi="Arial"/>
          <w:b/>
          <w:color w:val="44494E"/>
          <w:lang w:val="en" w:eastAsia="en-GB"/>
        </w:rPr>
        <w:t>T</w:t>
      </w:r>
      <w:r>
        <w:rPr>
          <w:rFonts w:eastAsia="Times New Roman" w:cs="Arial" w:ascii="Arial" w:hAnsi="Arial"/>
          <w:color w:val="44494E"/>
          <w:lang w:val="en" w:eastAsia="en-GB"/>
        </w:rPr>
        <w:t>enacious</w:t>
        <w:tab/>
        <w:tab/>
        <w:t xml:space="preserve">- </w:t>
      </w:r>
      <w:r>
        <w:rPr>
          <w:rFonts w:cs="Arial" w:ascii="Arial" w:hAnsi="Arial"/>
          <w:color w:val="44494E"/>
        </w:rPr>
        <w:t>Perseverance, never giving up, whatever it takes.</w:t>
      </w:r>
    </w:p>
    <w:p>
      <w:pPr>
        <w:pStyle w:val="Normal"/>
        <w:pBdr>
          <w:bottom w:val="single" w:sz="12" w:space="1" w:color="000000"/>
        </w:pBdr>
        <w:spacing w:lineRule="auto" w:line="240" w:before="0" w:after="0"/>
        <w:rPr>
          <w:rFonts w:ascii="Arial" w:hAnsi="Arial" w:cs="Arial"/>
          <w:b/>
          <w:color w:val="44494E"/>
        </w:rPr>
      </w:pPr>
      <w:r>
        <w:rPr>
          <w:rFonts w:cs="Arial" w:ascii="Arial" w:hAnsi="Arial"/>
          <w:b/>
          <w:color w:val="44494E"/>
        </w:rPr>
      </w:r>
    </w:p>
    <w:p>
      <w:pPr>
        <w:pStyle w:val="Normal"/>
        <w:spacing w:lineRule="auto" w:line="240" w:before="0" w:after="0"/>
        <w:rPr>
          <w:rFonts w:ascii="Arial" w:hAnsi="Arial" w:cs="Arial"/>
          <w:b/>
          <w:color w:val="44494E"/>
        </w:rPr>
      </w:pPr>
      <w:r>
        <w:rPr>
          <w:rFonts w:cs="Arial" w:ascii="Arial" w:hAnsi="Arial"/>
          <w:b/>
          <w:color w:val="44494E"/>
        </w:rPr>
      </w:r>
      <w:r>
        <w:br w:type="page"/>
      </w:r>
    </w:p>
    <w:p>
      <w:pPr>
        <w:pStyle w:val="Normal"/>
        <w:rPr>
          <w:rFonts w:ascii="Arial" w:hAnsi="Arial" w:cs="Arial"/>
          <w:b/>
          <w:color w:val="44494E"/>
        </w:rPr>
      </w:pPr>
      <w:r>
        <w:rPr>
          <w:rFonts w:cs="Arial" w:ascii="Arial" w:hAnsi="Arial"/>
          <w:b/>
          <w:color w:val="44494E"/>
        </w:rPr>
        <w:t>Person Specification:</w:t>
      </w:r>
    </w:p>
    <w:tbl>
      <w:tblPr>
        <w:tblW w:w="10193" w:type="dxa"/>
        <w:jc w:val="left"/>
        <w:tblInd w:w="108" w:type="dxa"/>
        <w:tblLayout w:type="fixed"/>
        <w:tblCellMar>
          <w:top w:w="0" w:type="dxa"/>
          <w:left w:w="108" w:type="dxa"/>
          <w:bottom w:w="0" w:type="dxa"/>
          <w:right w:w="108" w:type="dxa"/>
        </w:tblCellMar>
      </w:tblPr>
      <w:tblGrid>
        <w:gridCol w:w="3255"/>
        <w:gridCol w:w="3827"/>
        <w:gridCol w:w="3111"/>
      </w:tblGrid>
      <w:tr>
        <w:trPr/>
        <w:tc>
          <w:tcPr>
            <w:tcW w:w="3255" w:type="dxa"/>
            <w:tcBorders>
              <w:top w:val="single" w:sz="4" w:space="0" w:color="000000"/>
              <w:left w:val="single" w:sz="4" w:space="0" w:color="000000"/>
              <w:bottom w:val="single" w:sz="4" w:space="0" w:color="000000"/>
              <w:right w:val="single" w:sz="4" w:space="0" w:color="000000"/>
            </w:tcBorders>
            <w:shd w:fill="625368" w:val="clear"/>
          </w:tcPr>
          <w:p>
            <w:pPr>
              <w:pStyle w:val="Normal"/>
              <w:spacing w:lineRule="auto" w:line="240" w:before="0" w:after="0"/>
              <w:jc w:val="center"/>
              <w:rPr>
                <w:rFonts w:ascii="Arial" w:hAnsi="Arial" w:cs="Arial"/>
                <w:b/>
                <w:color w:val="FFFFFF"/>
              </w:rPr>
            </w:pPr>
            <w:r>
              <w:rPr>
                <w:rFonts w:cs="Arial" w:ascii="Arial" w:hAnsi="Arial"/>
                <w:b/>
                <w:color w:val="FFFFFF"/>
              </w:rPr>
              <w:t>Attributes</w:t>
            </w:r>
          </w:p>
        </w:tc>
        <w:tc>
          <w:tcPr>
            <w:tcW w:w="3827" w:type="dxa"/>
            <w:tcBorders>
              <w:top w:val="single" w:sz="4" w:space="0" w:color="000000"/>
              <w:left w:val="single" w:sz="4" w:space="0" w:color="000000"/>
              <w:bottom w:val="single" w:sz="4" w:space="0" w:color="000000"/>
              <w:right w:val="single" w:sz="4" w:space="0" w:color="000000"/>
            </w:tcBorders>
            <w:shd w:fill="625368" w:val="clear"/>
          </w:tcPr>
          <w:p>
            <w:pPr>
              <w:pStyle w:val="Normal"/>
              <w:spacing w:lineRule="auto" w:line="240" w:before="0" w:after="0"/>
              <w:jc w:val="center"/>
              <w:rPr>
                <w:rFonts w:ascii="Arial" w:hAnsi="Arial" w:cs="Arial"/>
                <w:b/>
                <w:color w:val="FFFFFF"/>
              </w:rPr>
            </w:pPr>
            <w:r>
              <w:rPr>
                <w:rFonts w:cs="Arial" w:ascii="Arial" w:hAnsi="Arial"/>
                <w:b/>
                <w:color w:val="FFFFFF"/>
              </w:rPr>
              <w:t>Essential</w:t>
            </w:r>
          </w:p>
        </w:tc>
        <w:tc>
          <w:tcPr>
            <w:tcW w:w="3111" w:type="dxa"/>
            <w:tcBorders>
              <w:top w:val="single" w:sz="4" w:space="0" w:color="000000"/>
              <w:left w:val="single" w:sz="4" w:space="0" w:color="000000"/>
              <w:bottom w:val="single" w:sz="4" w:space="0" w:color="000000"/>
              <w:right w:val="single" w:sz="4" w:space="0" w:color="000000"/>
            </w:tcBorders>
            <w:shd w:fill="625368" w:val="clear"/>
          </w:tcPr>
          <w:p>
            <w:pPr>
              <w:pStyle w:val="Normal"/>
              <w:spacing w:lineRule="auto" w:line="240" w:before="0" w:after="0"/>
              <w:jc w:val="center"/>
              <w:rPr>
                <w:rFonts w:ascii="Arial" w:hAnsi="Arial" w:cs="Arial"/>
                <w:b/>
                <w:color w:val="FFFFFF"/>
              </w:rPr>
            </w:pPr>
            <w:r>
              <w:rPr>
                <w:rFonts w:cs="Arial" w:ascii="Arial" w:hAnsi="Arial"/>
                <w:b/>
                <w:color w:val="FFFFFF"/>
              </w:rPr>
              <w:t>Desirable</w:t>
            </w:r>
          </w:p>
        </w:tc>
      </w:tr>
      <w:tr>
        <w:trPr/>
        <w:tc>
          <w:tcPr>
            <w:tcW w:w="3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Education and Qualifications</w:t>
            </w:r>
          </w:p>
        </w:tc>
        <w:tc>
          <w:tcPr>
            <w:tcW w:w="3827"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tabs>
                <w:tab w:val="clear" w:pos="720"/>
                <w:tab w:val="left" w:pos="502" w:leader="none"/>
              </w:tabs>
              <w:spacing w:lineRule="auto" w:line="240" w:before="0" w:after="0"/>
              <w:ind w:hanging="360" w:left="502" w:right="0"/>
              <w:contextualSpacing/>
              <w:rPr>
                <w:rFonts w:ascii="Arial" w:hAnsi="Arial" w:cs="Arial"/>
                <w:color w:val="44494E"/>
                <w:lang w:eastAsia="en-GB"/>
              </w:rPr>
            </w:pPr>
            <w:r>
              <w:rPr>
                <w:rFonts w:cs="Arial" w:ascii="Arial" w:hAnsi="Arial"/>
                <w:color w:val="44494E"/>
                <w:lang w:eastAsia="en-GB"/>
              </w:rPr>
              <w:t xml:space="preserve">Sound educational background </w:t>
            </w:r>
          </w:p>
        </w:tc>
        <w:tc>
          <w:tcPr>
            <w:tcW w:w="3111"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tabs>
                <w:tab w:val="clear" w:pos="720"/>
                <w:tab w:val="left" w:pos="502" w:leader="none"/>
              </w:tabs>
              <w:spacing w:lineRule="auto" w:line="240" w:before="0" w:after="0"/>
              <w:ind w:hanging="360" w:left="502" w:right="0"/>
              <w:contextualSpacing/>
              <w:rPr/>
            </w:pPr>
            <w:r>
              <w:rPr>
                <w:rFonts w:cs="Arial" w:ascii="Arial" w:hAnsi="Arial"/>
                <w:color w:val="44494E"/>
                <w:lang w:eastAsia="en-GB"/>
              </w:rPr>
              <w:t>GCSE’s Maths and English (A*-C, 4-9) or equivalent</w:t>
            </w:r>
          </w:p>
          <w:p>
            <w:pPr>
              <w:pStyle w:val="ListParagraph"/>
              <w:numPr>
                <w:ilvl w:val="0"/>
                <w:numId w:val="3"/>
              </w:numPr>
              <w:tabs>
                <w:tab w:val="clear" w:pos="720"/>
                <w:tab w:val="left" w:pos="502" w:leader="none"/>
              </w:tabs>
              <w:spacing w:lineRule="auto" w:line="240" w:before="0" w:after="0"/>
              <w:ind w:hanging="360" w:left="502" w:right="0"/>
              <w:contextualSpacing/>
              <w:rPr/>
            </w:pPr>
            <w:r>
              <w:rPr>
                <w:rFonts w:eastAsia="Calibri" w:cs="Arial" w:ascii="Arial" w:hAnsi="Arial"/>
                <w:color w:val="44494E"/>
              </w:rPr>
              <w:t>L3 or above in a relevant childcare qualification</w:t>
            </w:r>
          </w:p>
          <w:p>
            <w:pPr>
              <w:pStyle w:val="ListParagraph"/>
              <w:spacing w:lineRule="auto" w:line="240" w:before="0" w:after="0"/>
              <w:ind w:left="502" w:right="0"/>
              <w:contextualSpacing/>
              <w:rPr>
                <w:rFonts w:ascii="Arial" w:hAnsi="Arial" w:eastAsia="Calibri" w:cs="Arial"/>
                <w:color w:val="44494E"/>
              </w:rPr>
            </w:pPr>
            <w:r>
              <w:rPr>
                <w:rFonts w:eastAsia="Calibri" w:cs="Arial" w:ascii="Arial" w:hAnsi="Arial"/>
                <w:color w:val="44494E"/>
              </w:rPr>
            </w:r>
          </w:p>
        </w:tc>
      </w:tr>
      <w:tr>
        <w:trPr/>
        <w:tc>
          <w:tcPr>
            <w:tcW w:w="3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Knowledge and Experience</w:t>
            </w:r>
          </w:p>
        </w:tc>
        <w:tc>
          <w:tcPr>
            <w:tcW w:w="3827"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tabs>
                <w:tab w:val="clear" w:pos="720"/>
                <w:tab w:val="left" w:pos="502" w:leader="none"/>
              </w:tabs>
              <w:spacing w:lineRule="auto" w:line="240" w:before="0" w:after="0"/>
              <w:ind w:hanging="360" w:left="502" w:right="0"/>
              <w:contextualSpacing/>
              <w:rPr/>
            </w:pPr>
            <w:r>
              <w:rPr>
                <w:rFonts w:cs="Arial" w:ascii="Arial" w:hAnsi="Arial"/>
                <w:color w:val="44494E"/>
              </w:rPr>
              <w:t>Ability to support play activities that children enjoy</w:t>
            </w:r>
          </w:p>
          <w:p>
            <w:pPr>
              <w:pStyle w:val="ListParagraph"/>
              <w:numPr>
                <w:ilvl w:val="0"/>
                <w:numId w:val="3"/>
              </w:numPr>
              <w:tabs>
                <w:tab w:val="clear" w:pos="720"/>
                <w:tab w:val="left" w:pos="502" w:leader="none"/>
              </w:tabs>
              <w:spacing w:lineRule="auto" w:line="240" w:before="0" w:after="0"/>
              <w:ind w:hanging="360" w:left="502" w:right="0"/>
              <w:contextualSpacing/>
              <w:rPr/>
            </w:pPr>
            <w:r>
              <w:rPr>
                <w:rFonts w:cs="Arial" w:ascii="Arial" w:hAnsi="Arial"/>
                <w:color w:val="44494E"/>
              </w:rPr>
              <w:t>Ability to contribute to a safe and calm play-based environment</w:t>
            </w:r>
          </w:p>
          <w:p>
            <w:pPr>
              <w:pStyle w:val="ListParagraph"/>
              <w:numPr>
                <w:ilvl w:val="0"/>
                <w:numId w:val="3"/>
              </w:numPr>
              <w:tabs>
                <w:tab w:val="clear" w:pos="720"/>
                <w:tab w:val="left" w:pos="502" w:leader="none"/>
              </w:tabs>
              <w:spacing w:lineRule="auto" w:line="240" w:before="0" w:after="0"/>
              <w:ind w:hanging="360" w:left="502" w:right="0"/>
              <w:contextualSpacing/>
              <w:rPr/>
            </w:pPr>
            <w:r>
              <w:rPr>
                <w:rFonts w:cs="Arial" w:ascii="Arial" w:hAnsi="Arial"/>
                <w:color w:val="44494E"/>
              </w:rPr>
              <w:t>Understands the value of play-based learning</w:t>
            </w:r>
          </w:p>
          <w:p>
            <w:pPr>
              <w:pStyle w:val="ListParagraph"/>
              <w:numPr>
                <w:ilvl w:val="0"/>
                <w:numId w:val="3"/>
              </w:numPr>
              <w:tabs>
                <w:tab w:val="clear" w:pos="720"/>
                <w:tab w:val="left" w:pos="502" w:leader="none"/>
              </w:tabs>
              <w:spacing w:lineRule="auto" w:line="240" w:before="0" w:after="0"/>
              <w:ind w:hanging="360" w:left="502" w:right="0"/>
              <w:contextualSpacing/>
              <w:rPr/>
            </w:pPr>
            <w:r>
              <w:rPr>
                <w:rFonts w:cs="Arial" w:ascii="Arial" w:hAnsi="Arial"/>
                <w:color w:val="44494E"/>
              </w:rPr>
              <w:t>Ability to work with the Manager to plan and deliver activities to meet a range of needs and interests</w:t>
            </w:r>
          </w:p>
          <w:p>
            <w:pPr>
              <w:pStyle w:val="ListParagraph"/>
              <w:numPr>
                <w:ilvl w:val="0"/>
                <w:numId w:val="3"/>
              </w:numPr>
              <w:tabs>
                <w:tab w:val="clear" w:pos="720"/>
                <w:tab w:val="left" w:pos="502" w:leader="none"/>
              </w:tabs>
              <w:spacing w:lineRule="auto" w:line="240" w:before="0" w:after="0"/>
              <w:ind w:hanging="360" w:left="502" w:right="0"/>
              <w:contextualSpacing/>
              <w:rPr/>
            </w:pPr>
            <w:r>
              <w:rPr>
                <w:rFonts w:cs="Arial" w:ascii="Arial" w:hAnsi="Arial"/>
                <w:color w:val="44494E"/>
              </w:rPr>
              <w:t>Ability to help prepare snacks</w:t>
            </w:r>
          </w:p>
          <w:p>
            <w:pPr>
              <w:pStyle w:val="ListParagraph"/>
              <w:numPr>
                <w:ilvl w:val="0"/>
                <w:numId w:val="3"/>
              </w:numPr>
              <w:tabs>
                <w:tab w:val="clear" w:pos="720"/>
                <w:tab w:val="left" w:pos="502" w:leader="none"/>
              </w:tabs>
              <w:spacing w:lineRule="auto" w:line="240" w:before="0" w:after="0"/>
              <w:ind w:hanging="360" w:left="502" w:right="0"/>
              <w:contextualSpacing/>
              <w:rPr>
                <w:rFonts w:ascii="Arial" w:hAnsi="Arial" w:cs="Arial"/>
                <w:color w:val="44494E"/>
              </w:rPr>
            </w:pPr>
            <w:r>
              <w:rPr>
                <w:rFonts w:cs="Arial" w:ascii="Arial" w:hAnsi="Arial"/>
                <w:color w:val="44494E"/>
              </w:rPr>
              <w:t>IT Skills including Microsoft Word and Outlook</w:t>
            </w:r>
          </w:p>
        </w:tc>
        <w:tc>
          <w:tcPr>
            <w:tcW w:w="3111" w:type="dxa"/>
            <w:tcBorders>
              <w:top w:val="single" w:sz="4" w:space="0" w:color="000000"/>
              <w:left w:val="single" w:sz="4" w:space="0" w:color="000000"/>
              <w:bottom w:val="single" w:sz="4" w:space="0" w:color="000000"/>
              <w:right w:val="single" w:sz="4" w:space="0" w:color="000000"/>
            </w:tcBorders>
          </w:tcPr>
          <w:p>
            <w:pPr>
              <w:pStyle w:val="ListParagraph"/>
              <w:numPr>
                <w:ilvl w:val="0"/>
                <w:numId w:val="3"/>
              </w:numPr>
              <w:tabs>
                <w:tab w:val="clear" w:pos="720"/>
                <w:tab w:val="left" w:pos="502" w:leader="none"/>
              </w:tabs>
              <w:spacing w:lineRule="auto" w:line="240" w:before="0" w:after="0"/>
              <w:ind w:hanging="360" w:left="502" w:right="0"/>
              <w:contextualSpacing/>
              <w:rPr/>
            </w:pPr>
            <w:r>
              <w:rPr>
                <w:rFonts w:cs="Arial" w:ascii="Arial" w:hAnsi="Arial"/>
                <w:color w:val="44494E"/>
              </w:rPr>
              <w:t>Experience of working with children aged 4 – 11 years</w:t>
            </w:r>
          </w:p>
          <w:p>
            <w:pPr>
              <w:pStyle w:val="ListParagraph"/>
              <w:numPr>
                <w:ilvl w:val="0"/>
                <w:numId w:val="3"/>
              </w:numPr>
              <w:tabs>
                <w:tab w:val="clear" w:pos="720"/>
                <w:tab w:val="left" w:pos="502" w:leader="none"/>
              </w:tabs>
              <w:spacing w:lineRule="auto" w:line="240" w:before="0" w:after="0"/>
              <w:ind w:hanging="360" w:left="502" w:right="0"/>
              <w:contextualSpacing/>
              <w:rPr/>
            </w:pPr>
            <w:r>
              <w:rPr>
                <w:rFonts w:eastAsia="Calibri" w:cs="Arial" w:ascii="Arial" w:hAnsi="Arial"/>
                <w:color w:val="44494E"/>
              </w:rPr>
              <w:t>Experience of working with young people who have additional needs</w:t>
            </w:r>
          </w:p>
          <w:p>
            <w:pPr>
              <w:pStyle w:val="ListParagraph"/>
              <w:numPr>
                <w:ilvl w:val="0"/>
                <w:numId w:val="3"/>
              </w:numPr>
              <w:tabs>
                <w:tab w:val="clear" w:pos="720"/>
                <w:tab w:val="left" w:pos="502" w:leader="none"/>
              </w:tabs>
              <w:spacing w:lineRule="auto" w:line="240" w:before="0" w:after="0"/>
              <w:ind w:hanging="360" w:left="502" w:right="0"/>
              <w:contextualSpacing/>
              <w:rPr/>
            </w:pPr>
            <w:r>
              <w:rPr>
                <w:rFonts w:eastAsia="Calibri" w:cs="Arial" w:ascii="Arial" w:hAnsi="Arial"/>
                <w:color w:val="44494E"/>
              </w:rPr>
              <w:t>Experience of working in an educational setting</w:t>
            </w:r>
          </w:p>
          <w:p>
            <w:pPr>
              <w:pStyle w:val="ListParagraph"/>
              <w:numPr>
                <w:ilvl w:val="0"/>
                <w:numId w:val="3"/>
              </w:numPr>
              <w:tabs>
                <w:tab w:val="clear" w:pos="720"/>
                <w:tab w:val="left" w:pos="502" w:leader="none"/>
              </w:tabs>
              <w:spacing w:lineRule="auto" w:line="240" w:before="0" w:after="0"/>
              <w:ind w:hanging="360" w:left="502" w:right="0"/>
              <w:contextualSpacing/>
              <w:rPr/>
            </w:pPr>
            <w:r>
              <w:rPr>
                <w:rFonts w:eastAsia="Calibri" w:cs="Arial" w:ascii="Arial" w:hAnsi="Arial"/>
                <w:color w:val="44494E"/>
              </w:rPr>
              <w:t>Recognise the importance of confidentiality</w:t>
            </w:r>
          </w:p>
          <w:p>
            <w:pPr>
              <w:pStyle w:val="Normal"/>
              <w:spacing w:lineRule="auto" w:line="240" w:before="0" w:after="0"/>
              <w:ind w:left="142" w:right="0"/>
              <w:rPr>
                <w:rFonts w:ascii="Arial" w:hAnsi="Arial" w:eastAsia="Calibri" w:cs="Arial"/>
                <w:color w:val="44494E"/>
              </w:rPr>
            </w:pPr>
            <w:r>
              <w:rPr>
                <w:rFonts w:eastAsia="Calibri" w:cs="Arial" w:ascii="Arial" w:hAnsi="Arial"/>
                <w:color w:val="44494E"/>
              </w:rPr>
            </w:r>
          </w:p>
        </w:tc>
      </w:tr>
      <w:tr>
        <w:trPr/>
        <w:tc>
          <w:tcPr>
            <w:tcW w:w="3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Skills</w:t>
            </w:r>
          </w:p>
        </w:tc>
        <w:tc>
          <w:tcPr>
            <w:tcW w:w="3827"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tabs>
                <w:tab w:val="clear" w:pos="720"/>
                <w:tab w:val="left" w:pos="502" w:leader="none"/>
              </w:tabs>
              <w:spacing w:lineRule="auto" w:line="240" w:before="0" w:after="0"/>
              <w:ind w:hanging="360" w:left="502" w:right="0"/>
              <w:contextualSpacing/>
              <w:rPr/>
            </w:pPr>
            <w:r>
              <w:rPr>
                <w:rFonts w:cs="Arial" w:ascii="Arial" w:hAnsi="Arial"/>
                <w:color w:val="44494E"/>
              </w:rPr>
              <w:t>Excellent planning and organisational skills</w:t>
            </w:r>
          </w:p>
          <w:p>
            <w:pPr>
              <w:pStyle w:val="ListParagraph"/>
              <w:numPr>
                <w:ilvl w:val="0"/>
                <w:numId w:val="4"/>
              </w:numPr>
              <w:tabs>
                <w:tab w:val="clear" w:pos="720"/>
                <w:tab w:val="left" w:pos="502" w:leader="none"/>
              </w:tabs>
              <w:spacing w:lineRule="auto" w:line="240" w:before="0" w:after="0"/>
              <w:ind w:hanging="360" w:left="502" w:right="0"/>
              <w:contextualSpacing/>
              <w:rPr/>
            </w:pPr>
            <w:r>
              <w:rPr>
                <w:rFonts w:cs="Arial" w:ascii="Arial" w:hAnsi="Arial"/>
                <w:color w:val="44494E"/>
              </w:rPr>
              <w:t>Ability to work independently</w:t>
            </w:r>
          </w:p>
          <w:p>
            <w:pPr>
              <w:pStyle w:val="ListParagraph"/>
              <w:numPr>
                <w:ilvl w:val="0"/>
                <w:numId w:val="4"/>
              </w:numPr>
              <w:tabs>
                <w:tab w:val="clear" w:pos="720"/>
                <w:tab w:val="left" w:pos="502" w:leader="none"/>
              </w:tabs>
              <w:spacing w:lineRule="auto" w:line="240" w:before="0" w:after="0"/>
              <w:ind w:hanging="360" w:left="502" w:right="0"/>
              <w:contextualSpacing/>
              <w:rPr/>
            </w:pPr>
            <w:r>
              <w:rPr>
                <w:rFonts w:cs="Arial" w:ascii="Arial" w:hAnsi="Arial"/>
                <w:color w:val="44494E"/>
              </w:rPr>
              <w:t>Strong interpersonal skills</w:t>
            </w:r>
          </w:p>
          <w:p>
            <w:pPr>
              <w:pStyle w:val="ListParagraph"/>
              <w:numPr>
                <w:ilvl w:val="0"/>
                <w:numId w:val="4"/>
              </w:numPr>
              <w:tabs>
                <w:tab w:val="clear" w:pos="720"/>
                <w:tab w:val="left" w:pos="502" w:leader="none"/>
              </w:tabs>
              <w:spacing w:lineRule="auto" w:line="240" w:before="0" w:after="0"/>
              <w:ind w:hanging="360" w:left="502" w:right="0"/>
              <w:contextualSpacing/>
              <w:rPr/>
            </w:pPr>
            <w:r>
              <w:rPr>
                <w:rFonts w:cs="Arial" w:ascii="Arial" w:hAnsi="Arial"/>
                <w:color w:val="44494E"/>
              </w:rPr>
              <w:t xml:space="preserve">Highly motivated individual </w:t>
            </w:r>
          </w:p>
          <w:p>
            <w:pPr>
              <w:pStyle w:val="ListParagraph"/>
              <w:numPr>
                <w:ilvl w:val="0"/>
                <w:numId w:val="4"/>
              </w:numPr>
              <w:tabs>
                <w:tab w:val="clear" w:pos="720"/>
                <w:tab w:val="left" w:pos="502" w:leader="none"/>
              </w:tabs>
              <w:spacing w:lineRule="auto" w:line="240" w:before="0" w:after="0"/>
              <w:ind w:hanging="360" w:left="502" w:right="0"/>
              <w:contextualSpacing/>
              <w:rPr/>
            </w:pPr>
            <w:r>
              <w:rPr>
                <w:rFonts w:cs="Arial" w:ascii="Arial" w:hAnsi="Arial"/>
                <w:color w:val="44494E"/>
              </w:rPr>
              <w:t xml:space="preserve">Problem solving </w:t>
            </w:r>
          </w:p>
          <w:p>
            <w:pPr>
              <w:pStyle w:val="ListParagraph"/>
              <w:numPr>
                <w:ilvl w:val="0"/>
                <w:numId w:val="4"/>
              </w:numPr>
              <w:tabs>
                <w:tab w:val="clear" w:pos="720"/>
                <w:tab w:val="left" w:pos="502" w:leader="none"/>
              </w:tabs>
              <w:spacing w:lineRule="auto" w:line="240" w:before="0" w:after="0"/>
              <w:ind w:hanging="360" w:left="502" w:right="0"/>
              <w:contextualSpacing/>
              <w:rPr>
                <w:rFonts w:ascii="Arial" w:hAnsi="Arial" w:cs="Arial"/>
                <w:color w:val="44494E"/>
              </w:rPr>
            </w:pPr>
            <w:r>
              <w:rPr>
                <w:rFonts w:cs="Arial" w:ascii="Arial" w:hAnsi="Arial"/>
                <w:color w:val="44494E"/>
              </w:rPr>
              <w:t xml:space="preserve">Ability to demonstrate engaging oral and written communication  </w:t>
            </w:r>
          </w:p>
        </w:tc>
        <w:tc>
          <w:tcPr>
            <w:tcW w:w="3111" w:type="dxa"/>
            <w:tcBorders>
              <w:top w:val="single" w:sz="4" w:space="0" w:color="000000"/>
              <w:left w:val="single" w:sz="4" w:space="0" w:color="000000"/>
              <w:bottom w:val="single" w:sz="4" w:space="0" w:color="000000"/>
              <w:right w:val="single" w:sz="4" w:space="0" w:color="000000"/>
            </w:tcBorders>
          </w:tcPr>
          <w:p>
            <w:pPr>
              <w:pStyle w:val="ListParagraph"/>
              <w:snapToGrid w:val="false"/>
              <w:spacing w:lineRule="auto" w:line="240" w:before="0" w:after="0"/>
              <w:contextualSpacing/>
              <w:rPr>
                <w:rFonts w:ascii="Arial" w:hAnsi="Arial" w:cs="Arial"/>
                <w:color w:val="44494E"/>
                <w:lang w:eastAsia="en-GB"/>
              </w:rPr>
            </w:pPr>
            <w:r>
              <w:rPr>
                <w:rFonts w:cs="Arial" w:ascii="Arial" w:hAnsi="Arial"/>
                <w:color w:val="44494E"/>
                <w:lang w:eastAsia="en-GB"/>
              </w:rPr>
            </w:r>
          </w:p>
        </w:tc>
      </w:tr>
      <w:tr>
        <w:trPr>
          <w:trHeight w:val="2917" w:hRule="atLeast"/>
        </w:trPr>
        <w:tc>
          <w:tcPr>
            <w:tcW w:w="32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color w:val="44494E"/>
              </w:rPr>
            </w:pPr>
            <w:r>
              <w:rPr>
                <w:rFonts w:cs="Arial" w:ascii="Arial" w:hAnsi="Arial"/>
                <w:b/>
                <w:color w:val="44494E"/>
              </w:rPr>
              <w:t>Other Qualities</w:t>
            </w:r>
          </w:p>
          <w:p>
            <w:pPr>
              <w:pStyle w:val="Normal"/>
              <w:spacing w:lineRule="auto" w:line="240" w:before="0" w:after="0"/>
              <w:rPr>
                <w:rFonts w:ascii="Arial" w:hAnsi="Arial" w:cs="Arial"/>
                <w:sz w:val="40"/>
                <w:szCs w:val="40"/>
              </w:rPr>
            </w:pPr>
            <w:r>
              <w:rPr>
                <w:rFonts w:cs="Arial" w:ascii="Arial" w:hAnsi="Arial"/>
                <w:sz w:val="40"/>
                <w:szCs w:val="40"/>
              </w:rPr>
            </w:r>
          </w:p>
          <w:p>
            <w:pPr>
              <w:pStyle w:val="Normal"/>
              <w:spacing w:lineRule="auto" w:line="240" w:before="0" w:after="0"/>
              <w:rPr>
                <w:rFonts w:ascii="Arial" w:hAnsi="Arial" w:cs="Arial"/>
                <w:sz w:val="40"/>
                <w:szCs w:val="40"/>
              </w:rPr>
            </w:pPr>
            <w:r>
              <w:rPr>
                <w:rFonts w:cs="Arial" w:ascii="Arial" w:hAnsi="Arial"/>
                <w:sz w:val="40"/>
                <w:szCs w:val="40"/>
              </w:rPr>
            </w:r>
          </w:p>
          <w:p>
            <w:pPr>
              <w:pStyle w:val="Normal"/>
              <w:spacing w:lineRule="auto" w:line="240" w:before="0" w:after="0"/>
              <w:rPr>
                <w:rFonts w:ascii="Arial" w:hAnsi="Arial" w:cs="Arial"/>
                <w:sz w:val="40"/>
                <w:szCs w:val="40"/>
              </w:rPr>
            </w:pPr>
            <w:r>
              <w:rPr>
                <w:rFonts w:cs="Arial" w:ascii="Arial" w:hAnsi="Arial"/>
                <w:sz w:val="40"/>
                <w:szCs w:val="40"/>
              </w:rPr>
            </w:r>
          </w:p>
          <w:p>
            <w:pPr>
              <w:pStyle w:val="Normal"/>
              <w:spacing w:lineRule="auto" w:line="240" w:before="0" w:after="0"/>
              <w:rPr>
                <w:rFonts w:ascii="Arial" w:hAnsi="Arial" w:cs="Arial"/>
                <w:sz w:val="40"/>
                <w:szCs w:val="40"/>
              </w:rPr>
            </w:pPr>
            <w:r>
              <w:rPr>
                <w:rFonts w:cs="Arial" w:ascii="Arial" w:hAnsi="Arial"/>
                <w:sz w:val="40"/>
                <w:szCs w:val="40"/>
              </w:rPr>
            </w:r>
          </w:p>
          <w:p>
            <w:pPr>
              <w:pStyle w:val="Normal"/>
              <w:spacing w:lineRule="auto" w:line="240" w:before="0" w:after="0"/>
              <w:jc w:val="center"/>
              <w:rPr>
                <w:rFonts w:ascii="Arial" w:hAnsi="Arial" w:cs="Arial"/>
                <w:sz w:val="40"/>
                <w:szCs w:val="40"/>
              </w:rPr>
            </w:pPr>
            <w:r>
              <w:rPr>
                <w:rFonts w:cs="Arial" w:ascii="Arial" w:hAnsi="Arial"/>
                <w:sz w:val="40"/>
                <w:szCs w:val="40"/>
              </w:rPr>
            </w:r>
          </w:p>
        </w:tc>
        <w:tc>
          <w:tcPr>
            <w:tcW w:w="3827" w:type="dxa"/>
            <w:tcBorders>
              <w:top w:val="single" w:sz="4" w:space="0" w:color="000000"/>
              <w:left w:val="single" w:sz="4" w:space="0" w:color="000000"/>
              <w:bottom w:val="single" w:sz="4" w:space="0" w:color="000000"/>
              <w:right w:val="single" w:sz="4" w:space="0" w:color="000000"/>
            </w:tcBorders>
          </w:tcPr>
          <w:p>
            <w:pPr>
              <w:pStyle w:val="ListParagraph"/>
              <w:numPr>
                <w:ilvl w:val="0"/>
                <w:numId w:val="4"/>
              </w:numPr>
              <w:tabs>
                <w:tab w:val="clear" w:pos="720"/>
                <w:tab w:val="left" w:pos="502" w:leader="none"/>
              </w:tabs>
              <w:spacing w:lineRule="auto" w:line="240" w:before="0" w:after="0"/>
              <w:ind w:hanging="360" w:left="502" w:right="0"/>
              <w:contextualSpacing/>
              <w:rPr/>
            </w:pPr>
            <w:r>
              <w:rPr>
                <w:rFonts w:cs="Arial" w:ascii="Arial" w:hAnsi="Arial"/>
                <w:color w:val="44494E"/>
                <w:lang w:eastAsia="en-GB"/>
              </w:rPr>
              <w:t xml:space="preserve">Excellent time management </w:t>
            </w:r>
          </w:p>
          <w:p>
            <w:pPr>
              <w:pStyle w:val="ListParagraph"/>
              <w:numPr>
                <w:ilvl w:val="0"/>
                <w:numId w:val="4"/>
              </w:numPr>
              <w:tabs>
                <w:tab w:val="clear" w:pos="720"/>
                <w:tab w:val="left" w:pos="502" w:leader="none"/>
              </w:tabs>
              <w:spacing w:lineRule="auto" w:line="240" w:before="0" w:after="0"/>
              <w:ind w:hanging="360" w:left="502" w:right="0"/>
              <w:contextualSpacing/>
              <w:rPr/>
            </w:pPr>
            <w:r>
              <w:rPr>
                <w:rFonts w:cs="Arial" w:ascii="Arial" w:hAnsi="Arial"/>
                <w:color w:val="44494E"/>
                <w:lang w:eastAsia="en-GB"/>
              </w:rPr>
              <w:t>Ability to remain calm under pressure</w:t>
            </w:r>
          </w:p>
          <w:p>
            <w:pPr>
              <w:pStyle w:val="ListParagraph"/>
              <w:numPr>
                <w:ilvl w:val="0"/>
                <w:numId w:val="4"/>
              </w:numPr>
              <w:tabs>
                <w:tab w:val="clear" w:pos="720"/>
                <w:tab w:val="left" w:pos="502" w:leader="none"/>
              </w:tabs>
              <w:spacing w:lineRule="auto" w:line="240" w:before="0" w:after="0"/>
              <w:ind w:hanging="360" w:left="502" w:right="0"/>
              <w:contextualSpacing/>
              <w:rPr/>
            </w:pPr>
            <w:r>
              <w:rPr>
                <w:rFonts w:cs="Arial" w:ascii="Arial" w:hAnsi="Arial"/>
                <w:color w:val="44494E"/>
                <w:lang w:eastAsia="en-GB"/>
              </w:rPr>
              <w:t>Flexible</w:t>
            </w:r>
          </w:p>
          <w:p>
            <w:pPr>
              <w:pStyle w:val="ListParagraph"/>
              <w:numPr>
                <w:ilvl w:val="0"/>
                <w:numId w:val="4"/>
              </w:numPr>
              <w:tabs>
                <w:tab w:val="clear" w:pos="720"/>
                <w:tab w:val="left" w:pos="502" w:leader="none"/>
              </w:tabs>
              <w:spacing w:lineRule="auto" w:line="240" w:before="0" w:after="0"/>
              <w:ind w:hanging="360" w:left="502" w:right="0"/>
              <w:contextualSpacing/>
              <w:rPr/>
            </w:pPr>
            <w:r>
              <w:rPr>
                <w:rFonts w:cs="Arial" w:ascii="Arial" w:hAnsi="Arial"/>
                <w:color w:val="44494E"/>
                <w:lang w:eastAsia="en-GB"/>
              </w:rPr>
              <w:t>Good team player</w:t>
            </w:r>
          </w:p>
          <w:p>
            <w:pPr>
              <w:pStyle w:val="ListParagraph"/>
              <w:numPr>
                <w:ilvl w:val="0"/>
                <w:numId w:val="4"/>
              </w:numPr>
              <w:tabs>
                <w:tab w:val="clear" w:pos="720"/>
                <w:tab w:val="left" w:pos="502" w:leader="none"/>
              </w:tabs>
              <w:spacing w:lineRule="auto" w:line="240" w:before="0" w:after="0"/>
              <w:ind w:hanging="360" w:left="502" w:right="0"/>
              <w:contextualSpacing/>
              <w:rPr/>
            </w:pPr>
            <w:r>
              <w:rPr>
                <w:rFonts w:cs="Arial" w:ascii="Arial" w:hAnsi="Arial"/>
                <w:color w:val="44494E"/>
                <w:lang w:eastAsia="en-GB"/>
              </w:rPr>
              <w:t>Willingness to undertake further training</w:t>
            </w:r>
          </w:p>
          <w:p>
            <w:pPr>
              <w:pStyle w:val="ListParagraph"/>
              <w:numPr>
                <w:ilvl w:val="0"/>
                <w:numId w:val="4"/>
              </w:numPr>
              <w:tabs>
                <w:tab w:val="clear" w:pos="720"/>
                <w:tab w:val="left" w:pos="502" w:leader="none"/>
              </w:tabs>
              <w:spacing w:lineRule="auto" w:line="240" w:before="0" w:after="0"/>
              <w:ind w:hanging="360" w:left="502" w:right="0"/>
              <w:contextualSpacing/>
              <w:rPr>
                <w:rFonts w:ascii="Arial" w:hAnsi="Arial" w:cs="Arial"/>
                <w:color w:val="44494E"/>
              </w:rPr>
            </w:pPr>
            <w:r>
              <w:rPr>
                <w:rFonts w:cs="Arial" w:ascii="Arial" w:hAnsi="Arial"/>
                <w:color w:val="44494E"/>
              </w:rPr>
              <w:t>Commitment to safeguarding and promoting the welfare of children</w:t>
            </w:r>
          </w:p>
        </w:tc>
        <w:tc>
          <w:tcPr>
            <w:tcW w:w="31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ind w:left="142" w:right="0"/>
              <w:rPr>
                <w:rFonts w:ascii="Arial" w:hAnsi="Arial" w:cs="Arial"/>
                <w:color w:val="44494E"/>
                <w:lang w:eastAsia="en-GB"/>
              </w:rPr>
            </w:pPr>
            <w:r>
              <w:rPr>
                <w:rFonts w:cs="Arial" w:ascii="Arial" w:hAnsi="Arial"/>
                <w:color w:val="44494E"/>
                <w:lang w:eastAsia="en-GB"/>
              </w:rPr>
            </w:r>
          </w:p>
          <w:p>
            <w:pPr>
              <w:pStyle w:val="ListParagraph"/>
              <w:spacing w:lineRule="auto" w:line="240" w:before="0" w:after="0"/>
              <w:contextualSpacing/>
              <w:rPr>
                <w:rFonts w:ascii="Arial" w:hAnsi="Arial" w:cs="Arial"/>
                <w:color w:val="44494E"/>
                <w:lang w:eastAsia="en-GB"/>
              </w:rPr>
            </w:pPr>
            <w:r>
              <w:rPr>
                <w:rFonts w:cs="Arial" w:ascii="Arial" w:hAnsi="Arial"/>
                <w:color w:val="44494E"/>
                <w:lang w:eastAsia="en-GB"/>
              </w:rPr>
            </w:r>
          </w:p>
        </w:tc>
      </w:tr>
    </w:tbl>
    <w:p>
      <w:pPr>
        <w:pStyle w:val="Normal"/>
        <w:spacing w:before="0" w:after="160"/>
        <w:rPr/>
      </w:pPr>
      <w:r>
        <w:rPr/>
      </w:r>
    </w:p>
    <w:sectPr>
      <w:footerReference w:type="default" r:id="rId3"/>
      <w:type w:val="nextPage"/>
      <w:pgSz w:w="11906" w:h="16838"/>
      <w:pgMar w:left="851" w:right="851" w:gutter="0" w:header="0" w:top="851" w:footer="709"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i/>
        <w:i/>
        <w:iCs/>
        <w:color w:val="44494E"/>
        <w:sz w:val="18"/>
        <w:szCs w:val="18"/>
      </w:rPr>
    </w:pPr>
    <w:r>
      <w:rPr>
        <w:rFonts w:cs="Arial" w:ascii="Arial" w:hAnsi="Arial"/>
        <w:i/>
        <w:iCs/>
        <w:color w:val="44494E"/>
        <w:sz w:val="18"/>
        <w:szCs w:val="18"/>
      </w:rPr>
      <w:t>Kids Club Activity Leader Job Description &amp; Person Specification v1.0 JD0284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Wingdings" w:hAnsi="Wingdings" w:cs="Wingdings"/>
    </w:rPr>
  </w:style>
  <w:style w:type="character" w:styleId="WW8Num2z1">
    <w:name w:val="WW8Num2z1"/>
    <w:qFormat/>
    <w:rPr>
      <w:rFonts w:ascii="Courier New" w:hAnsi="Courier New" w:cs="Courier New"/>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Aria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4"/>
      <w:szCs w:val="24"/>
      <w:lang w:val="en-US" w:eastAsia="en-US" w:bidi="ar-SA"/>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