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Job Specification: SEND Class Teacher (Secondary)</w:t>
      </w:r>
    </w:p>
    <w:p>
      <w:pPr>
        <w:pStyle w:val="Normal"/>
        <w:rPr/>
      </w:pPr>
      <w:r>
        <w:rPr/>
      </w:r>
    </w:p>
    <w:p>
      <w:pPr>
        <w:pStyle w:val="Normal"/>
        <w:rPr/>
      </w:pPr>
      <w:r>
        <w:rPr>
          <w:b/>
          <w:bCs/>
        </w:rPr>
        <w:t>Location:</w:t>
      </w:r>
      <w:r>
        <w:rPr/>
        <w:t xml:space="preserve"> Heaton School, Stockport</w:t>
      </w:r>
    </w:p>
    <w:p>
      <w:pPr>
        <w:pStyle w:val="Normal"/>
        <w:rPr/>
      </w:pPr>
      <w:r>
        <w:rPr>
          <w:b/>
          <w:bCs/>
        </w:rPr>
        <w:t>Salary:</w:t>
      </w:r>
      <w:r>
        <w:rPr/>
        <w:t xml:space="preserve"> Main Pay Scale / Upper Pay Scale (MPS/UPS) + SEN Allowance (dependent on experience)</w:t>
      </w:r>
    </w:p>
    <w:p>
      <w:pPr>
        <w:pStyle w:val="Normal"/>
        <w:rPr/>
      </w:pPr>
      <w:r>
        <w:rPr>
          <w:b/>
          <w:bCs/>
        </w:rPr>
        <w:t>Contract Type:</w:t>
      </w:r>
      <w:r>
        <w:rPr/>
        <w:t xml:space="preserve"> Maternity cover</w:t>
      </w:r>
    </w:p>
    <w:p>
      <w:pPr>
        <w:pStyle w:val="Normal"/>
        <w:rPr/>
      </w:pPr>
      <w:r>
        <w:rPr>
          <w:b/>
          <w:bCs/>
        </w:rPr>
        <w:t>Reporting To:</w:t>
      </w:r>
      <w:r>
        <w:rPr/>
        <w:t xml:space="preserve"> Deputy Headteacher</w:t>
      </w:r>
    </w:p>
    <w:p>
      <w:pPr>
        <w:pStyle w:val="Normal"/>
        <w:rPr/>
      </w:pPr>
      <w:r>
        <w:rPr/>
      </w:r>
    </w:p>
    <w:p>
      <w:pPr>
        <w:pStyle w:val="Normal"/>
        <w:rPr>
          <w:b/>
          <w:b/>
          <w:bCs/>
        </w:rPr>
      </w:pPr>
      <w:r>
        <w:rPr>
          <w:b/>
          <w:bCs/>
        </w:rPr>
        <w:t>Job Purpose</w:t>
      </w:r>
    </w:p>
    <w:p>
      <w:pPr>
        <w:pStyle w:val="Normal"/>
        <w:rPr/>
      </w:pPr>
      <w:r>
        <w:rPr/>
        <w:t>To deliver high-quality, highly individualised, and creative learning opportunities for secondary-aged pupils with severe, profound, or complex learning difficulties, alongside complex medical conditions and associated challenging behaviours.</w:t>
      </w:r>
    </w:p>
    <w:p>
      <w:pPr>
        <w:pStyle w:val="Normal"/>
        <w:rPr/>
      </w:pPr>
      <w:r>
        <w:rPr/>
        <w:t>As a SEND Teacher, you will lead a small class team to create a safe, nurturing environment where medical plans, behavioural support, and precisely targeted IEPs are seamlessly integrated to support student progress and life skills.</w:t>
      </w:r>
    </w:p>
    <w:p>
      <w:pPr>
        <w:pStyle w:val="Normal"/>
        <w:rPr>
          <w:b/>
          <w:b/>
          <w:bCs/>
        </w:rPr>
      </w:pPr>
      <w:r>
        <w:rPr>
          <w:b/>
          <w:bCs/>
        </w:rPr>
        <w:t>Part 1: Job Description (Key Responsibilities)</w:t>
      </w:r>
    </w:p>
    <w:p>
      <w:pPr>
        <w:pStyle w:val="Normal"/>
        <w:rPr>
          <w:b/>
          <w:b/>
          <w:bCs/>
        </w:rPr>
      </w:pPr>
      <w:r>
        <w:rPr>
          <w:b/>
          <w:bCs/>
        </w:rPr>
        <w:t>1. Teaching, Learning, and Curriculum</w:t>
      </w:r>
    </w:p>
    <w:p>
      <w:pPr>
        <w:pStyle w:val="Normal"/>
        <w:numPr>
          <w:ilvl w:val="0"/>
          <w:numId w:val="1"/>
        </w:numPr>
        <w:rPr/>
      </w:pPr>
      <w:r>
        <w:rPr>
          <w:b/>
          <w:bCs/>
        </w:rPr>
        <w:t>Individualised Curriculum:</w:t>
      </w:r>
      <w:r>
        <w:rPr/>
        <w:t xml:space="preserve"> Plan, deliver, and assess a highly differentiate curriculum (often mapping to a semi-formal or informal pathway) tailored to the specific cognitive and physical needs of the pupils.</w:t>
      </w:r>
    </w:p>
    <w:p>
      <w:pPr>
        <w:pStyle w:val="Normal"/>
        <w:numPr>
          <w:ilvl w:val="0"/>
          <w:numId w:val="1"/>
        </w:numPr>
        <w:rPr/>
      </w:pPr>
      <w:r>
        <w:rPr>
          <w:b/>
          <w:bCs/>
        </w:rPr>
        <w:t>Total Communication:</w:t>
      </w:r>
      <w:r>
        <w:rPr/>
        <w:t xml:space="preserve"> Utilise a range of communication strategies to support non-verbal or minimally verbal students (e.g., PECS, Makaton, AAC devices, Objects of Reference).</w:t>
      </w:r>
    </w:p>
    <w:p>
      <w:pPr>
        <w:pStyle w:val="Normal"/>
        <w:rPr>
          <w:b/>
          <w:b/>
          <w:bCs/>
        </w:rPr>
      </w:pPr>
      <w:r>
        <w:rPr>
          <w:b/>
          <w:bCs/>
        </w:rPr>
        <w:t>2. Target Setting, Assessment, and IEP Monitoring</w:t>
      </w:r>
    </w:p>
    <w:p>
      <w:pPr>
        <w:pStyle w:val="Normal"/>
        <w:numPr>
          <w:ilvl w:val="0"/>
          <w:numId w:val="2"/>
        </w:numPr>
        <w:rPr/>
      </w:pPr>
      <w:r>
        <w:rPr>
          <w:b/>
          <w:bCs/>
        </w:rPr>
        <w:t>SMART IEP Development:</w:t>
      </w:r>
      <w:r>
        <w:rPr/>
        <w:t xml:space="preserve"> Formulate, write, and implement robust Individual Education Plans (IEPs) or Personalized Learning Plans featuring specific, measurable, achievable, realistic, and time-bound (SMART) targets that directly break down the long-term outcomes specified in pupils’ Education, Health and Care Plans (EHCPs).</w:t>
      </w:r>
    </w:p>
    <w:p>
      <w:pPr>
        <w:pStyle w:val="Normal"/>
        <w:numPr>
          <w:ilvl w:val="0"/>
          <w:numId w:val="2"/>
        </w:numPr>
        <w:rPr/>
      </w:pPr>
      <w:r>
        <w:rPr>
          <w:b/>
          <w:bCs/>
        </w:rPr>
        <w:t>Rigorous Monitoring and Data Tracking:</w:t>
      </w:r>
      <w:r>
        <w:rPr/>
        <w:t xml:space="preserve"> Systematically monitor and record daily/weekly pupil progress against IEP targets, using specialized SEND assessment frameworks (e.g., MAPP, Engagement Model) to track small-step, lateral, and holistic achievements.</w:t>
      </w:r>
    </w:p>
    <w:p>
      <w:pPr>
        <w:pStyle w:val="Normal"/>
        <w:numPr>
          <w:ilvl w:val="0"/>
          <w:numId w:val="2"/>
        </w:numPr>
        <w:rPr/>
      </w:pPr>
      <w:r>
        <w:rPr>
          <w:b/>
          <w:bCs/>
        </w:rPr>
        <w:t>Data-Driven Interventions:</w:t>
      </w:r>
      <w:r>
        <w:rPr/>
        <w:t xml:space="preserve"> Regularly analyse IEP data to identify flatlining progress, adjusting teaching strategies, environmental factors, or the targets themselves to ensure continuous student engagement and success.</w:t>
      </w:r>
    </w:p>
    <w:p>
      <w:pPr>
        <w:pStyle w:val="Normal"/>
        <w:numPr>
          <w:ilvl w:val="0"/>
          <w:numId w:val="2"/>
        </w:numPr>
        <w:rPr/>
      </w:pPr>
      <w:r>
        <w:rPr>
          <w:b/>
          <w:bCs/>
        </w:rPr>
        <w:t>Statutory Reporting:</w:t>
      </w:r>
      <w:r>
        <w:rPr/>
        <w:t xml:space="preserve"> Prepare high-quality progress reports and present detailed IEP tracking data at statutory Annual Reviews and multi-agency meetings.</w:t>
      </w:r>
    </w:p>
    <w:p>
      <w:pPr>
        <w:pStyle w:val="Normal"/>
        <w:ind w:left="720" w:right="0" w:hanging="0"/>
        <w:rPr/>
      </w:pPr>
      <w:r>
        <w:rPr/>
      </w:r>
    </w:p>
    <w:p>
      <w:pPr>
        <w:pStyle w:val="Normal"/>
        <w:ind w:left="720" w:right="0" w:hanging="0"/>
        <w:rPr/>
      </w:pPr>
      <w:r>
        <w:rPr/>
      </w:r>
    </w:p>
    <w:p>
      <w:pPr>
        <w:pStyle w:val="Normal"/>
        <w:rPr>
          <w:b/>
          <w:b/>
          <w:bCs/>
        </w:rPr>
      </w:pPr>
      <w:r>
        <w:rPr>
          <w:b/>
          <w:bCs/>
        </w:rPr>
        <w:t>3. Behavioural Support &amp; Complex Needs Management</w:t>
      </w:r>
    </w:p>
    <w:p>
      <w:pPr>
        <w:pStyle w:val="Normal"/>
        <w:numPr>
          <w:ilvl w:val="0"/>
          <w:numId w:val="3"/>
        </w:numPr>
        <w:rPr/>
      </w:pPr>
      <w:r>
        <w:rPr>
          <w:b/>
          <w:bCs/>
        </w:rPr>
        <w:t>Positive Behaviour Support :</w:t>
      </w:r>
      <w:r>
        <w:rPr/>
        <w:t xml:space="preserve"> Implement and maintain robust Individual support plans where applicable. Also be willing to  anticipate, de-escalate, and manage high-level challenging behaviours safely and empathetically.</w:t>
      </w:r>
    </w:p>
    <w:p>
      <w:pPr>
        <w:pStyle w:val="Normal"/>
        <w:numPr>
          <w:ilvl w:val="0"/>
          <w:numId w:val="3"/>
        </w:numPr>
        <w:rPr/>
      </w:pPr>
      <w:r>
        <w:rPr>
          <w:b/>
          <w:bCs/>
        </w:rPr>
        <w:t>Crisis Intervention:</w:t>
      </w:r>
      <w:r>
        <w:rPr/>
        <w:t xml:space="preserve"> Act in accordance with school policy and UK guidance regarding physical intervention (e.g., Team Teach), ensuring restrictive practices are used only as a last resort.</w:t>
      </w:r>
    </w:p>
    <w:p>
      <w:pPr>
        <w:pStyle w:val="Normal"/>
        <w:numPr>
          <w:ilvl w:val="0"/>
          <w:numId w:val="3"/>
        </w:numPr>
        <w:rPr/>
      </w:pPr>
      <w:r>
        <w:rPr>
          <w:b/>
          <w:bCs/>
        </w:rPr>
        <w:t>Sensory Regulation:</w:t>
      </w:r>
      <w:r>
        <w:rPr/>
        <w:t xml:space="preserve"> Integrate sensory diets and regulation strategies throughout the school day to reduce anxiety and behavioural triggers.</w:t>
      </w:r>
    </w:p>
    <w:p>
      <w:pPr>
        <w:pStyle w:val="Normal"/>
        <w:rPr>
          <w:b/>
          <w:b/>
          <w:bCs/>
        </w:rPr>
      </w:pPr>
      <w:r>
        <w:rPr>
          <w:b/>
          <w:bCs/>
        </w:rPr>
        <w:t>4. Medical and Physical Care Co-ordination</w:t>
      </w:r>
    </w:p>
    <w:p>
      <w:pPr>
        <w:pStyle w:val="Normal"/>
        <w:numPr>
          <w:ilvl w:val="0"/>
          <w:numId w:val="4"/>
        </w:numPr>
        <w:rPr/>
      </w:pPr>
      <w:r>
        <w:rPr>
          <w:b/>
          <w:bCs/>
        </w:rPr>
        <w:t>Healthcare Plans:</w:t>
      </w:r>
      <w:r>
        <w:rPr/>
        <w:t xml:space="preserve"> Work hand-in-hand with the school nursing team, therapists, and families to oversee Individual Healthcare Plans (IHCPs).</w:t>
      </w:r>
    </w:p>
    <w:p>
      <w:pPr>
        <w:pStyle w:val="Normal"/>
        <w:numPr>
          <w:ilvl w:val="0"/>
          <w:numId w:val="4"/>
        </w:numPr>
        <w:rPr/>
      </w:pPr>
      <w:r>
        <w:rPr>
          <w:b/>
          <w:bCs/>
        </w:rPr>
        <w:t>Medical Oversight:</w:t>
      </w:r>
      <w:r>
        <w:rPr/>
        <w:t xml:space="preserve"> Ensure that necessary medical interventions (e.g., gastrostomy/PEG feeding, medication administration, seizure management) are safely accommodated within the classroom schedule, maintaining strict dignity and care.</w:t>
      </w:r>
    </w:p>
    <w:p>
      <w:pPr>
        <w:pStyle w:val="Normal"/>
        <w:numPr>
          <w:ilvl w:val="0"/>
          <w:numId w:val="4"/>
        </w:numPr>
        <w:rPr/>
      </w:pPr>
      <w:r>
        <w:rPr>
          <w:b/>
          <w:bCs/>
        </w:rPr>
        <w:t>Physical Management:</w:t>
      </w:r>
      <w:r>
        <w:rPr/>
        <w:t xml:space="preserve"> Oversee moving and handling procedures, postural care, and the use of specialized equipment (e.g., hoists, standing frames) in collaboration with Physiotherapists and Occupational Therapists.</w:t>
      </w:r>
    </w:p>
    <w:p>
      <w:pPr>
        <w:pStyle w:val="Normal"/>
        <w:rPr>
          <w:b/>
          <w:b/>
          <w:bCs/>
        </w:rPr>
      </w:pPr>
      <w:r>
        <w:rPr>
          <w:b/>
          <w:bCs/>
        </w:rPr>
        <w:t>5. Leadership &amp; Multi-Agency Collaboration</w:t>
      </w:r>
    </w:p>
    <w:p>
      <w:pPr>
        <w:pStyle w:val="Normal"/>
        <w:numPr>
          <w:ilvl w:val="0"/>
          <w:numId w:val="5"/>
        </w:numPr>
        <w:rPr/>
      </w:pPr>
      <w:r>
        <w:rPr>
          <w:b/>
          <w:bCs/>
        </w:rPr>
        <w:t>Team Leadership:</w:t>
      </w:r>
      <w:r>
        <w:rPr/>
        <w:t xml:space="preserve"> Direct, deploy, and manage the classroom team of Teaching Assistants (TAs) and Higher Level Teaching Assistants (HLTAs) effectively, ensuring they understand how to collect accurate data for IEP tracking.</w:t>
      </w:r>
    </w:p>
    <w:p>
      <w:pPr>
        <w:pStyle w:val="Normal"/>
        <w:numPr>
          <w:ilvl w:val="0"/>
          <w:numId w:val="5"/>
        </w:numPr>
        <w:rPr/>
      </w:pPr>
      <w:r>
        <w:rPr>
          <w:b/>
          <w:bCs/>
        </w:rPr>
        <w:t>Multi-Disciplinary Working:</w:t>
      </w:r>
      <w:r>
        <w:rPr/>
        <w:t xml:space="preserve"> Collaborate closely with external professionals, including Speech and Language Therapists (SaLT), Educational Psychologists, CAMHS, social workers, and paediatric teams.</w:t>
      </w:r>
    </w:p>
    <w:p>
      <w:pPr>
        <w:pStyle w:val="Normal"/>
        <w:numPr>
          <w:ilvl w:val="0"/>
          <w:numId w:val="5"/>
        </w:numPr>
        <w:rPr/>
      </w:pPr>
      <w:r>
        <w:rPr>
          <w:b/>
          <w:bCs/>
        </w:rPr>
        <w:t>Parental Partnership:</w:t>
      </w:r>
      <w:r>
        <w:rPr/>
        <w:t xml:space="preserve"> Maintain sensitive, transparent, and regular communication with parents and carers regarding IEP progress, recognising the unique pressures faced by families of children with complex needs.</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t>Part 2: Person Specification (Qualifications &amp; Skills)</w:t>
      </w:r>
    </w:p>
    <w:tbl>
      <w:tblPr>
        <w:tblW w:w="9025" w:type="dxa"/>
        <w:jc w:val="left"/>
        <w:tblInd w:w="0" w:type="dxa"/>
        <w:tblCellMar>
          <w:top w:w="120" w:type="dxa"/>
          <w:left w:w="180" w:type="dxa"/>
          <w:bottom w:w="120" w:type="dxa"/>
          <w:right w:w="180" w:type="dxa"/>
        </w:tblCellMar>
      </w:tblPr>
      <w:tblGrid>
        <w:gridCol w:w="1829"/>
        <w:gridCol w:w="3897"/>
        <w:gridCol w:w="3299"/>
      </w:tblGrid>
      <w:tr>
        <w:trPr>
          <w:tblHeader w:val="true"/>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Criteria</w:t>
            </w:r>
          </w:p>
        </w:tc>
        <w:tc>
          <w:tcPr>
            <w:tcW w:w="3897"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Essential</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widowControl/>
              <w:bidi w:val="0"/>
              <w:spacing w:lineRule="auto" w:line="256" w:before="0" w:after="160"/>
              <w:jc w:val="left"/>
              <w:rPr>
                <w:b/>
                <w:b/>
                <w:bCs/>
              </w:rPr>
            </w:pPr>
            <w:r>
              <w:rPr>
                <w:b/>
                <w:bCs/>
              </w:rPr>
              <w:t>Desirable</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Qualifications</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Qualified Teacher Status (QTS) or QTLS.</w:t>
            </w:r>
          </w:p>
          <w:p>
            <w:pPr>
              <w:pStyle w:val="Normal"/>
              <w:widowControl/>
              <w:bidi w:val="0"/>
              <w:spacing w:lineRule="auto" w:line="256" w:before="0" w:after="160"/>
              <w:jc w:val="left"/>
              <w:rPr/>
            </w:pPr>
            <w:r>
              <w:rPr/>
              <w:t>* Evidence of continuous professional development in SEND.</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widowControl/>
              <w:bidi w:val="0"/>
              <w:spacing w:lineRule="auto" w:line="256" w:before="0" w:after="160"/>
              <w:jc w:val="left"/>
              <w:rPr/>
            </w:pPr>
            <w:r>
              <w:rPr/>
              <w:t>* Additional SEN qualification (e.g., Post-Grad in Autism, Severe/Profound Learning Difficulties).</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Experience</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Proven experience teaching children with severe, profound, or complex learning difficulties.</w:t>
            </w:r>
          </w:p>
          <w:p>
            <w:pPr>
              <w:pStyle w:val="Normal"/>
              <w:rPr/>
            </w:pPr>
            <w:r>
              <w:rPr/>
              <w:t>* E</w:t>
            </w:r>
            <w:r>
              <w:rPr>
                <w:bCs/>
              </w:rPr>
              <w:t>xperience writing, setting, and evaluating SMART targets on IEPs for high-needs learners.</w:t>
            </w:r>
          </w:p>
          <w:p>
            <w:pPr>
              <w:pStyle w:val="Normal"/>
              <w:rPr/>
            </w:pPr>
            <w:r>
              <w:rPr/>
              <w:t xml:space="preserve">* </w:t>
            </w:r>
            <w:r>
              <w:rPr>
                <w:bCs/>
              </w:rPr>
              <w:t>Demonstrated track record of monitoring, tracking, and reporting on small-step pupil progress using SEND-specific assessment tools.</w:t>
            </w:r>
          </w:p>
          <w:p>
            <w:pPr>
              <w:pStyle w:val="Normal"/>
              <w:rPr/>
            </w:pPr>
            <w:r>
              <w:rPr/>
              <w:t>* Experience implementing Positive Behaviour Support (PBS) plans.</w:t>
            </w:r>
          </w:p>
          <w:p>
            <w:pPr>
              <w:pStyle w:val="Normal"/>
              <w:rPr/>
            </w:pPr>
            <w:r>
              <w:rPr/>
              <w:t>* Experience managing and deploying Teaching Assistants.</w:t>
            </w:r>
          </w:p>
          <w:p>
            <w:pPr>
              <w:pStyle w:val="Normal"/>
              <w:widowControl/>
              <w:bidi w:val="0"/>
              <w:spacing w:lineRule="auto" w:line="256" w:before="0" w:after="160"/>
              <w:jc w:val="left"/>
              <w:rPr/>
            </w:pPr>
            <w:r>
              <w:rPr/>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rPr/>
            </w:pPr>
            <w:r>
              <w:rPr/>
              <w:t>* Experience working within a UK secondary special school setting.</w:t>
            </w:r>
          </w:p>
          <w:p>
            <w:pPr>
              <w:pStyle w:val="Normal"/>
              <w:rPr/>
            </w:pPr>
            <w:r>
              <w:rPr/>
              <w:t>* Experience leading IEP transition planning for secondary students moving towards post-16 provision.</w:t>
            </w:r>
          </w:p>
          <w:p>
            <w:pPr>
              <w:pStyle w:val="Normal"/>
              <w:rPr/>
            </w:pPr>
            <w:r>
              <w:rPr/>
              <w:t>* Experience working with pupils who have autism</w:t>
            </w:r>
          </w:p>
          <w:p>
            <w:pPr>
              <w:pStyle w:val="Normal"/>
              <w:rPr/>
            </w:pPr>
            <w:r>
              <w:rPr/>
              <w:t>* Experience working with an EQUALS curriculum</w:t>
            </w:r>
          </w:p>
          <w:p>
            <w:pPr>
              <w:pStyle w:val="Normal"/>
              <w:widowControl/>
              <w:bidi w:val="0"/>
              <w:spacing w:lineRule="auto" w:line="256" w:before="0" w:after="160"/>
              <w:jc w:val="left"/>
              <w:rPr/>
            </w:pPr>
            <w:r>
              <w:rPr/>
              <w:t>* Experience leading on a curriculum area</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Knowledge &amp; Training</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Deep understanding of the UK SEND Code of Practice (0-25) and its statutory assessment requirements.</w:t>
            </w:r>
          </w:p>
          <w:p>
            <w:pPr>
              <w:pStyle w:val="Normal"/>
              <w:rPr/>
            </w:pPr>
            <w:r>
              <w:rPr/>
              <w:t>* Knowledge of alternative communication methods (PECS, Makaton, AAC).</w:t>
            </w:r>
          </w:p>
          <w:p>
            <w:pPr>
              <w:pStyle w:val="Normal"/>
              <w:widowControl/>
              <w:bidi w:val="0"/>
              <w:spacing w:lineRule="auto" w:line="256" w:before="0" w:after="160"/>
              <w:jc w:val="left"/>
              <w:rPr/>
            </w:pPr>
            <w:r>
              <w:rPr/>
              <w:t>* Certified training in recognised de-escalation/positive handling techniques (e.g., Team Teach).</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rPr/>
            </w:pPr>
            <w:r>
              <w:rPr/>
              <w:t>* Training in specific medical interventions (e.g., Midazolam administration, PEG feeding, suctioning).</w:t>
            </w:r>
          </w:p>
          <w:p>
            <w:pPr>
              <w:pStyle w:val="Normal"/>
              <w:widowControl/>
              <w:bidi w:val="0"/>
              <w:spacing w:lineRule="auto" w:line="256" w:before="0" w:after="160"/>
              <w:jc w:val="left"/>
              <w:rPr/>
            </w:pPr>
            <w:r>
              <w:rPr/>
              <w:t>* Trained and experienced in delivering an EQUALS curriculum</w:t>
            </w:r>
          </w:p>
        </w:tc>
      </w:tr>
      <w:tr>
        <w:trPr/>
        <w:tc>
          <w:tcPr>
            <w:tcW w:w="1829" w:type="dxa"/>
            <w:tcBorders>
              <w:top w:val="single" w:sz="6" w:space="0" w:color="C4C7C5"/>
              <w:left w:val="single" w:sz="6" w:space="0" w:color="C4C7C5"/>
              <w:bottom w:val="single" w:sz="6" w:space="0" w:color="C4C7C5"/>
            </w:tcBorders>
            <w:shd w:fill="auto" w:val="clear"/>
            <w:vAlign w:val="center"/>
          </w:tcPr>
          <w:p>
            <w:pPr>
              <w:pStyle w:val="Normal"/>
              <w:widowControl/>
              <w:bidi w:val="0"/>
              <w:spacing w:lineRule="auto" w:line="256" w:before="0" w:after="160"/>
              <w:jc w:val="left"/>
              <w:rPr>
                <w:b/>
                <w:b/>
                <w:bCs/>
              </w:rPr>
            </w:pPr>
            <w:r>
              <w:rPr>
                <w:b/>
                <w:bCs/>
              </w:rPr>
              <w:t>Personal Attributes</w:t>
            </w:r>
          </w:p>
        </w:tc>
        <w:tc>
          <w:tcPr>
            <w:tcW w:w="3897" w:type="dxa"/>
            <w:tcBorders>
              <w:top w:val="single" w:sz="6" w:space="0" w:color="C4C7C5"/>
              <w:left w:val="single" w:sz="6" w:space="0" w:color="C4C7C5"/>
              <w:bottom w:val="single" w:sz="6" w:space="0" w:color="C4C7C5"/>
            </w:tcBorders>
            <w:shd w:fill="auto" w:val="clear"/>
            <w:vAlign w:val="center"/>
          </w:tcPr>
          <w:p>
            <w:pPr>
              <w:pStyle w:val="Normal"/>
              <w:rPr/>
            </w:pPr>
            <w:r>
              <w:rPr/>
              <w:t>* High emotional resilience and the ability to remain calm under intense pressure.</w:t>
            </w:r>
          </w:p>
          <w:p>
            <w:pPr>
              <w:pStyle w:val="Normal"/>
              <w:rPr/>
            </w:pPr>
            <w:r>
              <w:rPr/>
              <w:t>*exceptional empathy, patience, and a sense of humour.</w:t>
            </w:r>
            <w:bookmarkStart w:id="0" w:name="_GoBack"/>
            <w:bookmarkEnd w:id="0"/>
          </w:p>
          <w:p>
            <w:pPr>
              <w:pStyle w:val="Normal"/>
              <w:widowControl/>
              <w:bidi w:val="0"/>
              <w:spacing w:lineRule="auto" w:line="256" w:before="0" w:after="160"/>
              <w:jc w:val="left"/>
              <w:rPr/>
            </w:pPr>
            <w:r>
              <w:rPr/>
              <w:t>* A flexible approach to teaching, with the ability to pivot lessons based on pupil regulation or medical needs.</w:t>
            </w:r>
          </w:p>
        </w:tc>
        <w:tc>
          <w:tcPr>
            <w:tcW w:w="3299"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widowControl/>
              <w:bidi w:val="0"/>
              <w:spacing w:lineRule="auto" w:line="256" w:before="0" w:after="160"/>
              <w:jc w:val="left"/>
              <w:rPr/>
            </w:pPr>
            <w:r>
              <w:rPr/>
              <w:t>* High level of physical fitness required for active handling, floor work, and behavioural interventions.</w:t>
            </w:r>
          </w:p>
        </w:tc>
      </w:tr>
    </w:tbl>
    <w:p>
      <w:pPr>
        <w:pStyle w:val="Normal"/>
        <w:rPr>
          <w:b/>
          <w:b/>
          <w:bCs/>
        </w:rPr>
      </w:pPr>
      <w:r>
        <w:rPr>
          <w:b/>
          <w:bCs/>
        </w:rPr>
      </w:r>
    </w:p>
    <w:p>
      <w:pPr>
        <w:pStyle w:val="Normal"/>
        <w:rPr/>
      </w:pPr>
      <w:r>
        <w:rPr>
          <w:b/>
          <w:bCs/>
        </w:rPr>
        <w:t>Safeguarding Note:</w:t>
      </w:r>
      <w:r>
        <w:rPr/>
        <w:t xml:space="preserve"> </w:t>
      </w:r>
      <w:r>
        <w:rPr>
          <w:i/>
          <w:iCs/>
        </w:rPr>
        <w:t>Heaton School is committed to safeguarding and promoting the welfare of children and young people. The successful candidate will be required to undergo an enhanced DBS (Disclosure and Barring Service) check, including a check of the children's barred list, and satisfactory references.</w:t>
      </w:r>
    </w:p>
    <w:p>
      <w:pPr>
        <w:pStyle w:val="Normal"/>
        <w:widowControl/>
        <w:bidi w:val="0"/>
        <w:spacing w:lineRule="auto" w:line="25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2026-06-05T07:31:00Z</dcterms:created>
  <dc:creator>Andrew Ruddick</dc:creator>
  <dc:description/>
  <dc:language>en-US</dc:language>
  <cp:lastModifiedBy>Andrew Ruddick</cp:lastModifiedBy>
  <cp:lastPrinted>1995-11-21T17:41:00Z</cp:lastPrinted>
  <dcterms:modified xsi:type="dcterms:W3CDTF">2026-06-10T12:53:00Z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