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200" w:after="200"/>
        <w:rPr>
          <w:rFonts w:ascii="Verdana" w:hAnsi="Verdana" w:cs="Verdana"/>
          <w:color w:val="0070C0"/>
        </w:rPr>
      </w:pPr>
      <w:r>
        <w:rPr>
          <w:rFonts w:cs="Verdana" w:ascii="Verdana" w:hAnsi="Verdana"/>
          <w:color w:val="0070C0"/>
        </w:rPr>
        <w:t xml:space="preserve">SENCO Job Description </w:t>
      </w:r>
      <w:bookmarkStart w:id="0" w:name="_GoBack"/>
      <w:bookmarkEnd w:id="0"/>
    </w:p>
    <w:tbl>
      <w:tblPr>
        <w:tblW w:w="10245" w:type="dxa"/>
        <w:jc w:val="left"/>
        <w:tblInd w:w="0" w:type="dxa"/>
        <w:tblCellMar>
          <w:top w:w="0" w:type="dxa"/>
          <w:left w:w="108" w:type="dxa"/>
          <w:bottom w:w="0" w:type="dxa"/>
          <w:right w:w="108" w:type="dxa"/>
        </w:tblCellMar>
      </w:tblPr>
      <w:tblGrid>
        <w:gridCol w:w="3256"/>
        <w:gridCol w:w="6944"/>
        <w:gridCol w:w="10"/>
        <w:gridCol w:w="35"/>
      </w:tblGrid>
      <w:tr>
        <w:trPr>
          <w:trHeight w:val="567" w:hRule="atLeast"/>
        </w:trPr>
        <w:tc>
          <w:tcPr>
            <w:tcW w:w="10210" w:type="dxa"/>
            <w:gridSpan w:val="2"/>
            <w:tcBorders>
              <w:top w:val="single" w:sz="4" w:space="0" w:color="000000"/>
              <w:left w:val="single" w:sz="4" w:space="0" w:color="000000"/>
              <w:bottom w:val="single" w:sz="4" w:space="0" w:color="000000"/>
              <w:right w:val="single" w:sz="4" w:space="0" w:color="000000"/>
            </w:tcBorders>
            <w:shd w:fill="398AFF" w:val="clear"/>
            <w:vAlign w:val="center"/>
          </w:tcPr>
          <w:p>
            <w:pPr>
              <w:pStyle w:val="TNCBodyText"/>
              <w:spacing w:lineRule="auto" w:line="240" w:before="100" w:after="0"/>
              <w:jc w:val="center"/>
              <w:rPr>
                <w:rFonts w:ascii="Verdana" w:hAnsi="Verdana" w:cs="Verdana"/>
                <w:b/>
                <w:b/>
                <w:bCs/>
              </w:rPr>
            </w:pPr>
            <w:r>
              <w:rPr>
                <w:rFonts w:cs="Verdana" w:ascii="Verdana" w:hAnsi="Verdana"/>
                <w:b/>
                <w:bCs/>
              </w:rPr>
              <w:t>Employment details</w:t>
            </w:r>
          </w:p>
        </w:tc>
      </w:tr>
      <w:tr>
        <w:trPr>
          <w:trHeight w:val="567" w:hRule="atLeast"/>
        </w:trPr>
        <w:tc>
          <w:tcPr>
            <w:tcW w:w="3256" w:type="dxa"/>
            <w:tcBorders>
              <w:top w:val="single" w:sz="4" w:space="0" w:color="000000"/>
              <w:left w:val="single" w:sz="4" w:space="0" w:color="000000"/>
              <w:bottom w:val="single" w:sz="4" w:space="0" w:color="000000"/>
            </w:tcBorders>
            <w:shd w:fill="B1B1B1" w:val="clear"/>
            <w:vAlign w:val="center"/>
          </w:tcPr>
          <w:p>
            <w:pPr>
              <w:pStyle w:val="TNCBodyText"/>
              <w:spacing w:lineRule="auto" w:line="240" w:before="100" w:after="0"/>
              <w:jc w:val="left"/>
              <w:rPr>
                <w:rFonts w:ascii="Verdana" w:hAnsi="Verdana" w:cs="Verdana"/>
                <w:b/>
                <w:b/>
                <w:bCs/>
              </w:rPr>
            </w:pPr>
            <w:r>
              <w:rPr>
                <w:rFonts w:cs="Verdana" w:ascii="Verdana" w:hAnsi="Verdana"/>
                <w:b/>
                <w:bCs/>
              </w:rPr>
              <w:t>Job title</w:t>
            </w:r>
          </w:p>
        </w:tc>
        <w:tc>
          <w:tcPr>
            <w:tcW w:w="6954" w:type="dxa"/>
            <w:tcBorders>
              <w:top w:val="single" w:sz="4" w:space="0" w:color="000000"/>
              <w:left w:val="single" w:sz="4" w:space="0" w:color="000000"/>
              <w:bottom w:val="single" w:sz="4" w:space="0" w:color="000000"/>
              <w:right w:val="single" w:sz="4" w:space="0" w:color="000000"/>
            </w:tcBorders>
            <w:shd w:fill="auto" w:val="clear"/>
            <w:vAlign w:val="center"/>
          </w:tcPr>
          <w:p>
            <w:pPr>
              <w:pStyle w:val="TNCBodyText"/>
              <w:spacing w:lineRule="auto" w:line="240" w:before="100" w:after="0"/>
              <w:rPr>
                <w:rFonts w:ascii="Verdana" w:hAnsi="Verdana" w:cs="Verdana"/>
              </w:rPr>
            </w:pPr>
            <w:r>
              <w:rPr>
                <w:rFonts w:cs="Verdana" w:ascii="Verdana" w:hAnsi="Verdana"/>
              </w:rPr>
              <w:t>SENCo</w:t>
            </w:r>
          </w:p>
        </w:tc>
      </w:tr>
      <w:tr>
        <w:trPr>
          <w:trHeight w:val="567" w:hRule="atLeast"/>
        </w:trPr>
        <w:tc>
          <w:tcPr>
            <w:tcW w:w="3256" w:type="dxa"/>
            <w:tcBorders>
              <w:top w:val="single" w:sz="4" w:space="0" w:color="000000"/>
              <w:left w:val="single" w:sz="4" w:space="0" w:color="000000"/>
              <w:bottom w:val="single" w:sz="4" w:space="0" w:color="000000"/>
            </w:tcBorders>
            <w:shd w:fill="B1B1B1" w:val="clear"/>
            <w:vAlign w:val="center"/>
          </w:tcPr>
          <w:p>
            <w:pPr>
              <w:pStyle w:val="TNCBodyText"/>
              <w:spacing w:lineRule="auto" w:line="240" w:before="100" w:after="0"/>
              <w:jc w:val="left"/>
              <w:rPr>
                <w:rFonts w:ascii="Verdana" w:hAnsi="Verdana" w:cs="Verdana"/>
                <w:b/>
                <w:b/>
                <w:bCs/>
              </w:rPr>
            </w:pPr>
            <w:r>
              <w:rPr>
                <w:rFonts w:cs="Verdana" w:ascii="Verdana" w:hAnsi="Verdana"/>
                <w:b/>
                <w:bCs/>
              </w:rPr>
              <w:t>Reports to</w:t>
            </w:r>
          </w:p>
        </w:tc>
        <w:tc>
          <w:tcPr>
            <w:tcW w:w="6954" w:type="dxa"/>
            <w:tcBorders>
              <w:top w:val="single" w:sz="4" w:space="0" w:color="000000"/>
              <w:left w:val="single" w:sz="4" w:space="0" w:color="000000"/>
              <w:bottom w:val="single" w:sz="4" w:space="0" w:color="000000"/>
              <w:right w:val="single" w:sz="4" w:space="0" w:color="000000"/>
            </w:tcBorders>
            <w:shd w:fill="auto" w:val="clear"/>
            <w:vAlign w:val="center"/>
          </w:tcPr>
          <w:p>
            <w:pPr>
              <w:pStyle w:val="TNCBodyText"/>
              <w:spacing w:lineRule="auto" w:line="240" w:before="100" w:after="0"/>
              <w:rPr>
                <w:rFonts w:ascii="Verdana" w:hAnsi="Verdana" w:cs="Verdana"/>
                <w:bCs/>
              </w:rPr>
            </w:pPr>
            <w:r>
              <w:rPr>
                <w:rFonts w:cs="Verdana" w:ascii="Verdana" w:hAnsi="Verdana"/>
                <w:bCs/>
              </w:rPr>
              <w:t>Co-Headteachers</w:t>
            </w:r>
          </w:p>
        </w:tc>
      </w:tr>
      <w:tr>
        <w:trPr>
          <w:trHeight w:val="567" w:hRule="atLeast"/>
        </w:trPr>
        <w:tc>
          <w:tcPr>
            <w:tcW w:w="3256" w:type="dxa"/>
            <w:tcBorders>
              <w:top w:val="single" w:sz="4" w:space="0" w:color="000000"/>
              <w:left w:val="single" w:sz="4" w:space="0" w:color="000000"/>
              <w:bottom w:val="single" w:sz="4" w:space="0" w:color="000000"/>
            </w:tcBorders>
            <w:shd w:fill="B1B1B1" w:val="clear"/>
            <w:vAlign w:val="center"/>
          </w:tcPr>
          <w:p>
            <w:pPr>
              <w:pStyle w:val="TNCBodyText"/>
              <w:spacing w:lineRule="auto" w:line="240" w:before="100" w:after="0"/>
              <w:jc w:val="left"/>
              <w:rPr>
                <w:rFonts w:ascii="Verdana" w:hAnsi="Verdana" w:cs="Verdana"/>
                <w:b/>
                <w:b/>
                <w:bCs/>
              </w:rPr>
            </w:pPr>
            <w:r>
              <w:rPr>
                <w:rFonts w:cs="Verdana" w:ascii="Verdana" w:hAnsi="Verdana"/>
                <w:b/>
                <w:bCs/>
              </w:rPr>
              <w:t>Hours of work</w:t>
            </w:r>
          </w:p>
        </w:tc>
        <w:tc>
          <w:tcPr>
            <w:tcW w:w="6954" w:type="dxa"/>
            <w:tcBorders>
              <w:top w:val="single" w:sz="4" w:space="0" w:color="000000"/>
              <w:left w:val="single" w:sz="4" w:space="0" w:color="000000"/>
              <w:bottom w:val="single" w:sz="4" w:space="0" w:color="000000"/>
              <w:right w:val="single" w:sz="4" w:space="0" w:color="000000"/>
            </w:tcBorders>
            <w:shd w:fill="auto" w:val="clear"/>
            <w:vAlign w:val="center"/>
          </w:tcPr>
          <w:p>
            <w:pPr>
              <w:pStyle w:val="TNCBodyText"/>
              <w:spacing w:lineRule="auto" w:line="240" w:before="100" w:after="0"/>
              <w:rPr>
                <w:rFonts w:ascii="Verdana" w:hAnsi="Verdana" w:cs="Verdana"/>
              </w:rPr>
            </w:pPr>
            <w:r>
              <w:rPr>
                <w:rFonts w:cs="Verdana" w:ascii="Verdana" w:hAnsi="Verdana"/>
              </w:rPr>
              <w:t>16.25 hours (days can be agreed upon job offer)</w:t>
            </w:r>
          </w:p>
        </w:tc>
      </w:tr>
      <w:tr>
        <w:trPr>
          <w:trHeight w:val="567" w:hRule="atLeast"/>
        </w:trPr>
        <w:tc>
          <w:tcPr>
            <w:tcW w:w="3256" w:type="dxa"/>
            <w:tcBorders>
              <w:top w:val="single" w:sz="4" w:space="0" w:color="000000"/>
              <w:left w:val="single" w:sz="4" w:space="0" w:color="000000"/>
              <w:bottom w:val="single" w:sz="4" w:space="0" w:color="000000"/>
            </w:tcBorders>
            <w:shd w:fill="B1B1B1" w:val="clear"/>
            <w:vAlign w:val="center"/>
          </w:tcPr>
          <w:p>
            <w:pPr>
              <w:pStyle w:val="TNCBodyText"/>
              <w:spacing w:lineRule="auto" w:line="240" w:before="100" w:after="0"/>
              <w:jc w:val="left"/>
              <w:rPr>
                <w:rFonts w:ascii="Verdana" w:hAnsi="Verdana" w:cs="Verdana"/>
                <w:b/>
                <w:b/>
                <w:bCs/>
              </w:rPr>
            </w:pPr>
            <w:r>
              <w:rPr>
                <w:rFonts w:cs="Verdana" w:ascii="Verdana" w:hAnsi="Verdana"/>
                <w:b/>
                <w:bCs/>
              </w:rPr>
              <w:t>Salary</w:t>
            </w:r>
          </w:p>
        </w:tc>
        <w:tc>
          <w:tcPr>
            <w:tcW w:w="6954" w:type="dxa"/>
            <w:tcBorders>
              <w:top w:val="single" w:sz="4" w:space="0" w:color="000000"/>
              <w:left w:val="single" w:sz="4" w:space="0" w:color="000000"/>
              <w:bottom w:val="single" w:sz="4" w:space="0" w:color="000000"/>
              <w:right w:val="single" w:sz="4" w:space="0" w:color="000000"/>
            </w:tcBorders>
            <w:shd w:fill="auto" w:val="clear"/>
            <w:vAlign w:val="center"/>
          </w:tcPr>
          <w:p>
            <w:pPr>
              <w:pStyle w:val="TNCBodyText"/>
              <w:spacing w:lineRule="auto" w:line="240" w:before="100" w:after="0"/>
              <w:rPr>
                <w:rFonts w:ascii="Verdana" w:hAnsi="Verdana" w:cs="Verdana"/>
              </w:rPr>
            </w:pPr>
            <w:r>
              <w:rPr>
                <w:rFonts w:cs="Verdana" w:ascii="Verdana" w:hAnsi="Verdana"/>
              </w:rPr>
              <w:t>Teachers Main / Upper Scale plus TLR2a</w:t>
            </w:r>
          </w:p>
        </w:tc>
      </w:tr>
      <w:tr>
        <w:trPr>
          <w:trHeight w:val="283" w:hRule="atLeast"/>
        </w:trPr>
        <w:tc>
          <w:tcPr>
            <w:tcW w:w="10200" w:type="dxa"/>
            <w:gridSpan w:val="2"/>
            <w:tcBorders>
              <w:top w:val="single" w:sz="4" w:space="0" w:color="000000"/>
              <w:bottom w:val="single" w:sz="18" w:space="0" w:color="398AFF"/>
            </w:tcBorders>
            <w:shd w:fill="auto" w:val="clear"/>
            <w:vAlign w:val="center"/>
          </w:tcPr>
          <w:p>
            <w:pPr>
              <w:pStyle w:val="TNCBodyText"/>
              <w:snapToGrid w:val="false"/>
              <w:spacing w:lineRule="auto" w:line="240" w:before="100" w:after="0"/>
              <w:rPr>
                <w:rFonts w:ascii="Verdana" w:hAnsi="Verdana" w:cs="Verdana"/>
              </w:rPr>
            </w:pPr>
            <w:r>
              <w:rPr>
                <w:rFonts w:cs="Verdana" w:ascii="Verdana" w:hAnsi="Verdana"/>
              </w:rPr>
            </w:r>
          </w:p>
        </w:tc>
      </w:tr>
      <w:tr>
        <w:trPr>
          <w:trHeight w:val="567" w:hRule="atLeast"/>
        </w:trPr>
        <w:tc>
          <w:tcPr>
            <w:tcW w:w="10245" w:type="dxa"/>
            <w:gridSpan w:val="2"/>
            <w:tcBorders>
              <w:top w:val="single" w:sz="18" w:space="0" w:color="398AFF"/>
              <w:left w:val="single" w:sz="18" w:space="0" w:color="398AFF"/>
              <w:bottom w:val="single" w:sz="18" w:space="0" w:color="398AFF"/>
              <w:right w:val="single" w:sz="18" w:space="0" w:color="398AFF"/>
            </w:tcBorders>
            <w:shd w:fill="auto" w:val="clear"/>
            <w:vAlign w:val="center"/>
          </w:tcPr>
          <w:p>
            <w:pPr>
              <w:pStyle w:val="TNCBodyText"/>
              <w:spacing w:lineRule="auto" w:line="240" w:before="100" w:after="0"/>
              <w:rPr>
                <w:rFonts w:ascii="Verdana" w:hAnsi="Verdana" w:cs="Verdana"/>
                <w:b/>
                <w:b/>
                <w:bCs/>
              </w:rPr>
            </w:pPr>
            <w:r>
              <w:rPr>
                <w:rFonts w:cs="Verdana" w:ascii="Verdana" w:hAnsi="Verdana"/>
                <w:b/>
                <w:bCs/>
              </w:rPr>
              <w:t xml:space="preserve">General duties </w:t>
            </w:r>
          </w:p>
          <w:p>
            <w:pPr>
              <w:pStyle w:val="TNCBodyText"/>
              <w:numPr>
                <w:ilvl w:val="0"/>
                <w:numId w:val="3"/>
              </w:numPr>
              <w:spacing w:lineRule="auto" w:line="240" w:before="100" w:after="0"/>
              <w:rPr>
                <w:rFonts w:ascii="Verdana" w:hAnsi="Verdana" w:cs="Verdana"/>
              </w:rPr>
            </w:pPr>
            <w:r>
              <w:rPr>
                <w:rFonts w:cs="Verdana" w:ascii="Verdana" w:hAnsi="Verdana"/>
              </w:rPr>
              <w:t>Have overall responsibility for determining the strategic development of SEND policy and provision in the school.</w:t>
            </w:r>
          </w:p>
          <w:p>
            <w:pPr>
              <w:pStyle w:val="TNCBodyText"/>
              <w:numPr>
                <w:ilvl w:val="0"/>
                <w:numId w:val="3"/>
              </w:numPr>
              <w:spacing w:lineRule="auto" w:line="240" w:before="100" w:after="0"/>
              <w:rPr>
                <w:rFonts w:ascii="Verdana" w:hAnsi="Verdana" w:cs="Verdana"/>
              </w:rPr>
            </w:pPr>
            <w:r>
              <w:rPr>
                <w:rFonts w:cs="Verdana" w:ascii="Verdana" w:hAnsi="Verdana"/>
              </w:rPr>
              <w:t>Have day-to-day responsibility for the coordination of SEND provision to support individual pupils.</w:t>
            </w:r>
          </w:p>
          <w:p>
            <w:pPr>
              <w:pStyle w:val="TNCBodyText"/>
              <w:numPr>
                <w:ilvl w:val="0"/>
                <w:numId w:val="3"/>
              </w:numPr>
              <w:spacing w:lineRule="auto" w:line="240" w:before="100" w:after="0"/>
              <w:rPr>
                <w:rFonts w:ascii="Verdana" w:hAnsi="Verdana" w:cs="Verdana"/>
              </w:rPr>
            </w:pPr>
            <w:r>
              <w:rPr>
                <w:rFonts w:cs="Verdana" w:ascii="Verdana" w:hAnsi="Verdana"/>
              </w:rPr>
              <w:t>Where a looked after child has SEND, ensure effective communication with the relevant designated teacher.</w:t>
            </w:r>
          </w:p>
          <w:p>
            <w:pPr>
              <w:pStyle w:val="TNCBodyText"/>
              <w:numPr>
                <w:ilvl w:val="0"/>
                <w:numId w:val="3"/>
              </w:numPr>
              <w:spacing w:lineRule="auto" w:line="240" w:before="100" w:after="0"/>
              <w:rPr>
                <w:rFonts w:ascii="Verdana" w:hAnsi="Verdana" w:cs="Verdana"/>
              </w:rPr>
            </w:pPr>
            <w:r>
              <w:rPr>
                <w:rFonts w:cs="Verdana" w:ascii="Verdana" w:hAnsi="Verdana"/>
              </w:rPr>
              <w:t>Advise on the graduated approach to providing SEND support.</w:t>
            </w:r>
          </w:p>
          <w:p>
            <w:pPr>
              <w:pStyle w:val="TNCBodyText"/>
              <w:numPr>
                <w:ilvl w:val="0"/>
                <w:numId w:val="3"/>
              </w:numPr>
              <w:spacing w:lineRule="auto" w:line="240" w:before="100" w:after="0"/>
              <w:rPr>
                <w:rFonts w:ascii="Verdana" w:hAnsi="Verdana" w:cs="Verdana"/>
              </w:rPr>
            </w:pPr>
            <w:r>
              <w:rPr>
                <w:rFonts w:cs="Verdana" w:ascii="Verdana" w:hAnsi="Verdana"/>
              </w:rPr>
              <w:t>Advise on the deployment of the school’s delegated budget and other resources to meet pupils’ needs effectively.</w:t>
            </w:r>
          </w:p>
          <w:p>
            <w:pPr>
              <w:pStyle w:val="TNCBodyText"/>
              <w:numPr>
                <w:ilvl w:val="0"/>
                <w:numId w:val="3"/>
              </w:numPr>
              <w:spacing w:lineRule="auto" w:line="240" w:before="100" w:after="0"/>
              <w:rPr>
                <w:rFonts w:ascii="Verdana" w:hAnsi="Verdana" w:cs="Verdana"/>
              </w:rPr>
            </w:pPr>
            <w:r>
              <w:rPr>
                <w:rFonts w:cs="Verdana" w:ascii="Verdana" w:hAnsi="Verdana"/>
              </w:rPr>
              <w:t>Liaise with the parents of pupils with SEND.</w:t>
            </w:r>
          </w:p>
          <w:p>
            <w:pPr>
              <w:pStyle w:val="TNCBodyText"/>
              <w:numPr>
                <w:ilvl w:val="0"/>
                <w:numId w:val="3"/>
              </w:numPr>
              <w:spacing w:lineRule="auto" w:line="240" w:before="100" w:after="0"/>
              <w:rPr>
                <w:rFonts w:ascii="Verdana" w:hAnsi="Verdana" w:cs="Verdana"/>
              </w:rPr>
            </w:pPr>
            <w:r>
              <w:rPr>
                <w:rFonts w:cs="Verdana" w:ascii="Verdana" w:hAnsi="Verdana"/>
              </w:rPr>
              <w:t>Liaise with early years providers (where required), other schools, agencies, health and social care professionals and other bodies with regards to SEND provision.</w:t>
            </w:r>
          </w:p>
          <w:p>
            <w:pPr>
              <w:pStyle w:val="TNCBodyText"/>
              <w:numPr>
                <w:ilvl w:val="0"/>
                <w:numId w:val="3"/>
              </w:numPr>
              <w:spacing w:lineRule="auto" w:line="240" w:before="100" w:after="0"/>
              <w:rPr>
                <w:rFonts w:ascii="Verdana" w:hAnsi="Verdana" w:cs="Verdana"/>
              </w:rPr>
            </w:pPr>
            <w:r>
              <w:rPr>
                <w:rFonts w:cs="Verdana" w:ascii="Verdana" w:hAnsi="Verdana"/>
              </w:rPr>
              <w:t>Be the key point of contact with external agencies, particularly the LA and its support services, and ensure that these links are actively promoted.</w:t>
            </w:r>
          </w:p>
          <w:p>
            <w:pPr>
              <w:pStyle w:val="TNCBodyText"/>
              <w:numPr>
                <w:ilvl w:val="0"/>
                <w:numId w:val="3"/>
              </w:numPr>
              <w:spacing w:lineRule="auto" w:line="240" w:before="100" w:after="0"/>
              <w:rPr>
                <w:rFonts w:ascii="Verdana" w:hAnsi="Verdana" w:cs="Verdana"/>
              </w:rPr>
            </w:pPr>
            <w:r>
              <w:rPr>
                <w:rFonts w:cs="Verdana" w:ascii="Verdana" w:hAnsi="Verdana"/>
              </w:rPr>
              <w:t>Liaise with potential next providers of education to ensure pupils and their parents are informed about their options, and that a smooth transition is planned.</w:t>
            </w:r>
          </w:p>
          <w:p>
            <w:pPr>
              <w:pStyle w:val="TNCBodyText"/>
              <w:numPr>
                <w:ilvl w:val="0"/>
                <w:numId w:val="3"/>
              </w:numPr>
              <w:spacing w:lineRule="auto" w:line="240" w:before="100" w:after="0"/>
              <w:rPr>
                <w:rFonts w:ascii="Verdana" w:hAnsi="Verdana" w:cs="Verdana"/>
              </w:rPr>
            </w:pPr>
            <w:r>
              <w:rPr>
                <w:rFonts w:cs="Verdana" w:ascii="Verdana" w:hAnsi="Verdana"/>
              </w:rPr>
              <w:t xml:space="preserve">Work with the headteacher and the governing board to ensure that the school meets its responsibilities under the Equality Act 2010 with regards to reasonable adjustments and access arrangements. </w:t>
            </w:r>
          </w:p>
          <w:p>
            <w:pPr>
              <w:pStyle w:val="TNCBodyText"/>
              <w:numPr>
                <w:ilvl w:val="0"/>
                <w:numId w:val="2"/>
              </w:numPr>
              <w:spacing w:lineRule="auto" w:line="240" w:before="100" w:after="0"/>
              <w:rPr>
                <w:rFonts w:ascii="Verdana" w:hAnsi="Verdana" w:cs="Verdana"/>
              </w:rPr>
            </w:pPr>
            <w:r>
              <w:rPr>
                <w:rFonts w:cs="Verdana" w:ascii="Verdana" w:hAnsi="Verdana"/>
              </w:rPr>
              <w:t xml:space="preserve">Ensure the school keeps an accurate record of all pupils with SEND and that this remains up-to-date. </w:t>
            </w:r>
          </w:p>
          <w:p>
            <w:pPr>
              <w:pStyle w:val="TNCBodyText"/>
              <w:numPr>
                <w:ilvl w:val="0"/>
                <w:numId w:val="2"/>
              </w:numPr>
              <w:spacing w:lineRule="auto" w:line="240" w:before="100" w:after="0"/>
              <w:rPr>
                <w:rFonts w:ascii="Verdana" w:hAnsi="Verdana" w:cs="Verdana"/>
              </w:rPr>
            </w:pPr>
            <w:r>
              <w:rPr>
                <w:rFonts w:cs="Verdana" w:ascii="Verdana" w:hAnsi="Verdana"/>
              </w:rPr>
              <w:t xml:space="preserve">Undertake training and CPD to improve and maintain a well-rounded knowledge of SEND provision to ensure duties can be effectively performed. </w:t>
            </w:r>
          </w:p>
          <w:p>
            <w:pPr>
              <w:pStyle w:val="TNCBodyText"/>
              <w:numPr>
                <w:ilvl w:val="0"/>
                <w:numId w:val="2"/>
              </w:numPr>
              <w:spacing w:lineRule="auto" w:line="240" w:before="100" w:after="0"/>
              <w:rPr>
                <w:rFonts w:ascii="Verdana" w:hAnsi="Verdana" w:cs="Verdana"/>
              </w:rPr>
            </w:pPr>
            <w:r>
              <w:rPr>
                <w:rFonts w:cs="Verdana" w:ascii="Verdana" w:hAnsi="Verdana"/>
              </w:rPr>
              <w:t xml:space="preserve">Ensure the specific requirements of pupils with SEND are understood and support measures are implemented effectively. </w:t>
            </w:r>
          </w:p>
          <w:p>
            <w:pPr>
              <w:pStyle w:val="TNCBodyText"/>
              <w:numPr>
                <w:ilvl w:val="0"/>
                <w:numId w:val="2"/>
              </w:numPr>
              <w:spacing w:lineRule="auto" w:line="240" w:before="100" w:after="0"/>
              <w:rPr>
                <w:rFonts w:ascii="Verdana" w:hAnsi="Verdana" w:cs="Verdana"/>
              </w:rPr>
            </w:pPr>
            <w:r>
              <w:rPr>
                <w:rFonts w:cs="Verdana" w:ascii="Verdana" w:hAnsi="Verdana"/>
              </w:rPr>
              <w:t xml:space="preserve">Have a sound knowledge of how relevant legislation, including the ‘SEND Code of Practice: 0 to 25 years’, impacts the school’s SEND provision. </w:t>
            </w:r>
          </w:p>
          <w:p>
            <w:pPr>
              <w:pStyle w:val="TNCBodyText"/>
              <w:numPr>
                <w:ilvl w:val="0"/>
                <w:numId w:val="2"/>
              </w:numPr>
              <w:spacing w:lineRule="auto" w:line="240" w:before="100" w:after="0"/>
              <w:rPr>
                <w:rFonts w:ascii="Verdana" w:hAnsi="Verdana" w:cs="Verdana"/>
              </w:rPr>
            </w:pPr>
            <w:r>
              <w:rPr>
                <w:rFonts w:cs="Verdana" w:ascii="Verdana" w:hAnsi="Verdana"/>
              </w:rPr>
              <w:t xml:space="preserve">Understand how the needs of pupils with SEND change as they get older. </w:t>
            </w:r>
          </w:p>
          <w:p>
            <w:pPr>
              <w:pStyle w:val="TNCBodyText"/>
              <w:numPr>
                <w:ilvl w:val="0"/>
                <w:numId w:val="2"/>
              </w:numPr>
              <w:spacing w:lineRule="auto" w:line="240" w:before="100" w:after="0"/>
              <w:rPr>
                <w:rFonts w:ascii="Verdana" w:hAnsi="Verdana" w:cs="Verdana"/>
              </w:rPr>
            </w:pPr>
            <w:r>
              <w:rPr>
                <w:rFonts w:cs="Verdana" w:ascii="Verdana" w:hAnsi="Verdana"/>
              </w:rPr>
              <w:t>Participate in the implementation of EHC plans with parents of pupils with SEND, monitoring their impact and making any necessary adjustments to ensure pupils make progress.</w:t>
            </w:r>
          </w:p>
        </w:tc>
      </w:tr>
      <w:tr>
        <w:trPr>
          <w:trHeight w:val="283" w:hRule="atLeast"/>
        </w:trPr>
        <w:tc>
          <w:tcPr>
            <w:tcW w:w="10200" w:type="dxa"/>
            <w:gridSpan w:val="2"/>
            <w:tcBorders>
              <w:top w:val="single" w:sz="18" w:space="0" w:color="398AFF"/>
              <w:bottom w:val="single" w:sz="18" w:space="0" w:color="398AFF"/>
            </w:tcBorders>
            <w:shd w:fill="auto" w:val="clear"/>
            <w:vAlign w:val="center"/>
          </w:tcPr>
          <w:p>
            <w:pPr>
              <w:pStyle w:val="TNCBodyText"/>
              <w:snapToGrid w:val="false"/>
              <w:spacing w:lineRule="auto" w:line="240" w:before="100" w:after="0"/>
              <w:rPr>
                <w:rFonts w:ascii="Verdana" w:hAnsi="Verdana" w:cs="Verdana"/>
              </w:rPr>
            </w:pPr>
            <w:r>
              <w:rPr>
                <w:rFonts w:cs="Verdana" w:ascii="Verdana" w:hAnsi="Verdana"/>
              </w:rPr>
            </w:r>
          </w:p>
        </w:tc>
      </w:tr>
      <w:tr>
        <w:trPr>
          <w:trHeight w:val="699" w:hRule="atLeast"/>
        </w:trPr>
        <w:tc>
          <w:tcPr>
            <w:tcW w:w="10245" w:type="dxa"/>
            <w:gridSpan w:val="2"/>
            <w:tcBorders>
              <w:top w:val="single" w:sz="18" w:space="0" w:color="398AFF"/>
              <w:left w:val="single" w:sz="18" w:space="0" w:color="398AFF"/>
              <w:bottom w:val="single" w:sz="18" w:space="0" w:color="398AFF"/>
              <w:right w:val="single" w:sz="18" w:space="0" w:color="398AFF"/>
            </w:tcBorders>
            <w:shd w:fill="auto" w:val="clear"/>
            <w:vAlign w:val="center"/>
          </w:tcPr>
          <w:p>
            <w:pPr>
              <w:pStyle w:val="TNCBodyText"/>
              <w:spacing w:lineRule="auto" w:line="240" w:before="100" w:after="0"/>
              <w:rPr>
                <w:rFonts w:ascii="Verdana" w:hAnsi="Verdana" w:cs="Verdana"/>
                <w:b/>
                <w:b/>
                <w:bCs/>
              </w:rPr>
            </w:pPr>
            <w:r>
              <w:rPr>
                <w:rFonts w:cs="Verdana" w:ascii="Verdana" w:hAnsi="Verdana"/>
                <w:b/>
                <w:bCs/>
              </w:rPr>
              <w:t xml:space="preserve">Teaching and learning </w:t>
            </w:r>
          </w:p>
          <w:p>
            <w:pPr>
              <w:pStyle w:val="TNCBodyText"/>
              <w:numPr>
                <w:ilvl w:val="0"/>
                <w:numId w:val="4"/>
              </w:numPr>
              <w:spacing w:lineRule="auto" w:line="240" w:before="100" w:after="0"/>
              <w:rPr/>
            </w:pPr>
            <w:r>
              <w:rPr>
                <w:rFonts w:cs="Verdana" w:ascii="Verdana" w:hAnsi="Verdana"/>
              </w:rPr>
              <w:t xml:space="preserve">Liaise with the </w:t>
            </w:r>
            <w:r>
              <w:rPr>
                <w:rFonts w:cs="Verdana" w:ascii="Verdana" w:hAnsi="Verdana"/>
                <w:bCs/>
              </w:rPr>
              <w:t>headteacher</w:t>
            </w:r>
            <w:r>
              <w:rPr>
                <w:rFonts w:cs="Verdana" w:ascii="Verdana" w:hAnsi="Verdana"/>
              </w:rPr>
              <w:t xml:space="preserve"> to ensure an appropriate, broad, high-quality and cost-effective curriculum is delivered to pupils with SEND.  </w:t>
            </w:r>
          </w:p>
          <w:p>
            <w:pPr>
              <w:pStyle w:val="TNCBodyText"/>
              <w:numPr>
                <w:ilvl w:val="0"/>
                <w:numId w:val="4"/>
              </w:numPr>
              <w:spacing w:lineRule="auto" w:line="240" w:before="100" w:after="0"/>
              <w:rPr>
                <w:rFonts w:ascii="Verdana" w:hAnsi="Verdana" w:cs="Verdana"/>
              </w:rPr>
            </w:pPr>
            <w:r>
              <w:rPr>
                <w:rFonts w:cs="Verdana" w:ascii="Verdana" w:hAnsi="Verdana"/>
              </w:rPr>
              <w:t xml:space="preserve">Keep up-to-date with local and national developments in teaching pupils with SEND and communicate these to all members of staff. </w:t>
            </w:r>
          </w:p>
          <w:p>
            <w:pPr>
              <w:pStyle w:val="TNCBodyText"/>
              <w:numPr>
                <w:ilvl w:val="0"/>
                <w:numId w:val="4"/>
              </w:numPr>
              <w:spacing w:lineRule="auto" w:line="240" w:before="100" w:after="0"/>
              <w:rPr>
                <w:rFonts w:ascii="Verdana" w:hAnsi="Verdana" w:cs="Verdana"/>
              </w:rPr>
            </w:pPr>
            <w:r>
              <w:rPr>
                <w:rFonts w:cs="Verdana" w:ascii="Verdana" w:hAnsi="Verdana"/>
              </w:rPr>
              <w:t>Monitor teaching and learning activities to ensure that they meet the specific needs of pupils with SEND.</w:t>
            </w:r>
          </w:p>
        </w:tc>
      </w:tr>
      <w:tr>
        <w:trPr>
          <w:trHeight w:val="283" w:hRule="atLeast"/>
        </w:trPr>
        <w:tc>
          <w:tcPr>
            <w:tcW w:w="10200" w:type="dxa"/>
            <w:gridSpan w:val="2"/>
            <w:tcBorders>
              <w:top w:val="single" w:sz="18" w:space="0" w:color="398AFF"/>
              <w:bottom w:val="single" w:sz="18" w:space="0" w:color="398AFF"/>
            </w:tcBorders>
            <w:shd w:fill="auto" w:val="clear"/>
            <w:vAlign w:val="center"/>
          </w:tcPr>
          <w:p>
            <w:pPr>
              <w:pStyle w:val="TNCBodyText"/>
              <w:snapToGrid w:val="false"/>
              <w:spacing w:lineRule="auto" w:line="240" w:before="100" w:after="0"/>
              <w:rPr>
                <w:rFonts w:ascii="Verdana" w:hAnsi="Verdana" w:cs="Verdana"/>
              </w:rPr>
            </w:pPr>
            <w:r>
              <w:rPr>
                <w:rFonts w:cs="Verdana" w:ascii="Verdana" w:hAnsi="Verdana"/>
              </w:rPr>
            </w:r>
          </w:p>
        </w:tc>
      </w:tr>
      <w:tr>
        <w:trPr>
          <w:trHeight w:val="567" w:hRule="atLeast"/>
        </w:trPr>
        <w:tc>
          <w:tcPr>
            <w:tcW w:w="10245" w:type="dxa"/>
            <w:gridSpan w:val="2"/>
            <w:tcBorders>
              <w:top w:val="single" w:sz="18" w:space="0" w:color="398AFF"/>
              <w:left w:val="single" w:sz="18" w:space="0" w:color="398AFF"/>
              <w:bottom w:val="single" w:sz="18" w:space="0" w:color="398AFF"/>
              <w:right w:val="single" w:sz="18" w:space="0" w:color="398AFF"/>
            </w:tcBorders>
            <w:shd w:fill="auto" w:val="clear"/>
            <w:vAlign w:val="center"/>
          </w:tcPr>
          <w:p>
            <w:pPr>
              <w:pStyle w:val="TNCBodyText"/>
              <w:spacing w:lineRule="auto" w:line="240" w:before="100" w:after="0"/>
              <w:rPr>
                <w:rFonts w:ascii="Verdana" w:hAnsi="Verdana" w:cs="Verdana"/>
                <w:b/>
                <w:b/>
                <w:bCs/>
              </w:rPr>
            </w:pPr>
            <w:r>
              <w:rPr>
                <w:rFonts w:cs="Verdana" w:ascii="Verdana" w:hAnsi="Verdana"/>
                <w:b/>
                <w:bCs/>
              </w:rPr>
              <w:t>Leadership and management</w:t>
            </w:r>
          </w:p>
          <w:p>
            <w:pPr>
              <w:pStyle w:val="TNCBodyText"/>
              <w:numPr>
                <w:ilvl w:val="0"/>
                <w:numId w:val="5"/>
              </w:numPr>
              <w:spacing w:lineRule="auto" w:line="240" w:before="100" w:after="0"/>
              <w:rPr>
                <w:rFonts w:ascii="Verdana" w:hAnsi="Verdana" w:cs="Verdana"/>
              </w:rPr>
            </w:pPr>
            <w:r>
              <w:rPr>
                <w:rFonts w:cs="Verdana" w:ascii="Verdana" w:hAnsi="Verdana"/>
              </w:rPr>
              <w:t xml:space="preserve">Coordinate and support the staff team in SEND matters. </w:t>
            </w:r>
          </w:p>
          <w:p>
            <w:pPr>
              <w:pStyle w:val="TNCBodyText"/>
              <w:numPr>
                <w:ilvl w:val="0"/>
                <w:numId w:val="5"/>
              </w:numPr>
              <w:spacing w:lineRule="auto" w:line="240" w:before="100" w:after="0"/>
              <w:rPr>
                <w:rFonts w:ascii="Verdana" w:hAnsi="Verdana" w:cs="Verdana"/>
              </w:rPr>
            </w:pPr>
            <w:r>
              <w:rPr>
                <w:rFonts w:cs="Verdana" w:ascii="Verdana" w:hAnsi="Verdana"/>
              </w:rPr>
              <w:t>Support staff members to understand the needs of pupils with SEND.</w:t>
            </w:r>
          </w:p>
          <w:p>
            <w:pPr>
              <w:pStyle w:val="TNCBodyText"/>
              <w:numPr>
                <w:ilvl w:val="0"/>
                <w:numId w:val="5"/>
              </w:numPr>
              <w:spacing w:lineRule="auto" w:line="240" w:before="100" w:after="0"/>
              <w:rPr>
                <w:rFonts w:ascii="Verdana" w:hAnsi="Verdana" w:cs="Verdana"/>
              </w:rPr>
            </w:pPr>
            <w:r>
              <w:rPr>
                <w:rFonts w:cs="Verdana" w:ascii="Verdana" w:hAnsi="Verdana"/>
              </w:rPr>
              <w:t xml:space="preserve">Promote a safe and secure learning environment for pupils with SEND, and action improvement plans where necessary. </w:t>
            </w:r>
          </w:p>
          <w:p>
            <w:pPr>
              <w:pStyle w:val="TNCBodyText"/>
              <w:numPr>
                <w:ilvl w:val="0"/>
                <w:numId w:val="5"/>
              </w:numPr>
              <w:spacing w:lineRule="auto" w:line="240" w:before="100" w:after="0"/>
              <w:rPr>
                <w:rFonts w:ascii="Verdana" w:hAnsi="Verdana" w:cs="Verdana"/>
              </w:rPr>
            </w:pPr>
            <w:r>
              <w:rPr>
                <w:rFonts w:cs="Verdana" w:ascii="Verdana" w:hAnsi="Verdana"/>
              </w:rPr>
              <w:t>Provide professional guidance to staff to secure good quality teaching for pupils with SEND.</w:t>
            </w:r>
          </w:p>
          <w:p>
            <w:pPr>
              <w:pStyle w:val="TNCBodyText"/>
              <w:numPr>
                <w:ilvl w:val="0"/>
                <w:numId w:val="5"/>
              </w:numPr>
              <w:spacing w:lineRule="auto" w:line="240" w:before="100" w:after="0"/>
              <w:rPr>
                <w:rFonts w:ascii="Verdana" w:hAnsi="Verdana" w:cs="Verdana"/>
              </w:rPr>
            </w:pPr>
            <w:r>
              <w:rPr>
                <w:rFonts w:cs="Verdana" w:ascii="Verdana" w:hAnsi="Verdana"/>
              </w:rPr>
              <w:t>Guide staff in recognising and fulfilling their responsibilities to support pupils with SEND.</w:t>
            </w:r>
          </w:p>
          <w:p>
            <w:pPr>
              <w:pStyle w:val="TNCBodyText"/>
              <w:numPr>
                <w:ilvl w:val="0"/>
                <w:numId w:val="5"/>
              </w:numPr>
              <w:spacing w:lineRule="auto" w:line="240" w:before="100" w:after="0"/>
              <w:rPr>
                <w:rFonts w:ascii="Verdana" w:hAnsi="Verdana" w:cs="Verdana"/>
              </w:rPr>
            </w:pPr>
            <w:r>
              <w:rPr>
                <w:rFonts w:cs="Verdana" w:ascii="Verdana" w:hAnsi="Verdana"/>
              </w:rPr>
              <w:t xml:space="preserve">Contribute to the performance management process of  teachers, learning support staff and TAs. </w:t>
            </w:r>
          </w:p>
          <w:p>
            <w:pPr>
              <w:pStyle w:val="TNCBodyText"/>
              <w:numPr>
                <w:ilvl w:val="0"/>
                <w:numId w:val="5"/>
              </w:numPr>
              <w:spacing w:lineRule="auto" w:line="240" w:before="100" w:after="0"/>
              <w:rPr>
                <w:rFonts w:ascii="Verdana" w:hAnsi="Verdana" w:cs="Verdana"/>
              </w:rPr>
            </w:pPr>
            <w:r>
              <w:rPr>
                <w:rFonts w:cs="Verdana" w:ascii="Verdana" w:hAnsi="Verdana"/>
              </w:rPr>
              <w:t xml:space="preserve">Act as a point of contact and offer advice to staff seeking to learn more about, or develop skills relating to, SEND.  </w:t>
            </w:r>
          </w:p>
          <w:p>
            <w:pPr>
              <w:pStyle w:val="TNCBodyText"/>
              <w:numPr>
                <w:ilvl w:val="0"/>
                <w:numId w:val="5"/>
              </w:numPr>
              <w:spacing w:lineRule="auto" w:line="240" w:before="100" w:after="0"/>
              <w:rPr>
                <w:rFonts w:ascii="Verdana" w:hAnsi="Verdana" w:cs="Verdana"/>
              </w:rPr>
            </w:pPr>
            <w:r>
              <w:rPr>
                <w:rFonts w:cs="Verdana" w:ascii="Verdana" w:hAnsi="Verdana"/>
              </w:rPr>
              <w:t xml:space="preserve">Ensure the school’s SEND provision is inclusive at all levels. </w:t>
            </w:r>
          </w:p>
          <w:p>
            <w:pPr>
              <w:pStyle w:val="TNCBodyText"/>
              <w:numPr>
                <w:ilvl w:val="0"/>
                <w:numId w:val="5"/>
              </w:numPr>
              <w:spacing w:lineRule="auto" w:line="240" w:before="100" w:after="0"/>
              <w:rPr>
                <w:rFonts w:ascii="Verdana" w:hAnsi="Verdana" w:cs="Verdana"/>
              </w:rPr>
            </w:pPr>
            <w:r>
              <w:rPr>
                <w:rFonts w:cs="Verdana" w:ascii="Verdana" w:hAnsi="Verdana"/>
              </w:rPr>
              <w:t xml:space="preserve">Contribute to curriculum planning to ensure that it reflects the needs of pupils with SEND. </w:t>
            </w:r>
          </w:p>
          <w:p>
            <w:pPr>
              <w:pStyle w:val="TNCBodyText"/>
              <w:numPr>
                <w:ilvl w:val="0"/>
                <w:numId w:val="5"/>
              </w:numPr>
              <w:spacing w:lineRule="auto" w:line="240" w:before="100" w:after="0"/>
              <w:rPr>
                <w:rFonts w:ascii="Verdana" w:hAnsi="Verdana" w:cs="Verdana"/>
              </w:rPr>
            </w:pPr>
            <w:r>
              <w:rPr>
                <w:rFonts w:cs="Verdana" w:ascii="Verdana" w:hAnsi="Verdana"/>
              </w:rPr>
              <w:t xml:space="preserve">Help to cater for the needs of pupils with SEND by contributing to the effective deployment of learning support staff.  </w:t>
            </w:r>
          </w:p>
          <w:p>
            <w:pPr>
              <w:pStyle w:val="TNCBodyText"/>
              <w:numPr>
                <w:ilvl w:val="0"/>
                <w:numId w:val="5"/>
              </w:numPr>
              <w:spacing w:lineRule="auto" w:line="240" w:before="100" w:after="0"/>
              <w:rPr>
                <w:rFonts w:ascii="Verdana" w:hAnsi="Verdana" w:cs="Verdana"/>
                <w:bCs/>
              </w:rPr>
            </w:pPr>
            <w:r>
              <w:rPr>
                <w:rFonts w:cs="Verdana" w:ascii="Verdana" w:hAnsi="Verdana"/>
                <w:bCs/>
              </w:rPr>
              <w:t xml:space="preserve">Contribute to the creation of an effective school improvement plan (SIP) which appropriately considers the needs of pupils with SEND. </w:t>
            </w:r>
          </w:p>
          <w:p>
            <w:pPr>
              <w:pStyle w:val="TNCBodyText"/>
              <w:numPr>
                <w:ilvl w:val="0"/>
                <w:numId w:val="5"/>
              </w:numPr>
              <w:spacing w:lineRule="auto" w:line="240" w:before="100" w:after="0"/>
              <w:rPr>
                <w:rFonts w:ascii="Verdana" w:hAnsi="Verdana" w:cs="Verdana"/>
                <w:bCs/>
              </w:rPr>
            </w:pPr>
            <w:r>
              <w:rPr>
                <w:rFonts w:cs="Verdana" w:ascii="Verdana" w:hAnsi="Verdana"/>
                <w:bCs/>
              </w:rPr>
              <w:t>Ensure that learning support staff are supervised effectively.</w:t>
            </w:r>
          </w:p>
        </w:tc>
      </w:tr>
      <w:tr>
        <w:trPr>
          <w:trHeight w:val="283" w:hRule="atLeast"/>
        </w:trPr>
        <w:tc>
          <w:tcPr>
            <w:tcW w:w="10200" w:type="dxa"/>
            <w:gridSpan w:val="2"/>
            <w:tcBorders>
              <w:top w:val="single" w:sz="18" w:space="0" w:color="398AFF"/>
              <w:bottom w:val="single" w:sz="18" w:space="0" w:color="398AFF"/>
            </w:tcBorders>
            <w:shd w:fill="auto" w:val="clear"/>
            <w:vAlign w:val="center"/>
          </w:tcPr>
          <w:p>
            <w:pPr>
              <w:pStyle w:val="TNCBodyText"/>
              <w:snapToGrid w:val="false"/>
              <w:spacing w:lineRule="auto" w:line="240" w:before="100" w:after="0"/>
              <w:rPr>
                <w:rFonts w:ascii="Verdana" w:hAnsi="Verdana" w:cs="Verdana"/>
              </w:rPr>
            </w:pPr>
            <w:r>
              <w:rPr>
                <w:rFonts w:cs="Verdana" w:ascii="Verdana" w:hAnsi="Verdana"/>
              </w:rPr>
            </w:r>
          </w:p>
        </w:tc>
      </w:tr>
      <w:tr>
        <w:trPr>
          <w:trHeight w:val="567" w:hRule="atLeast"/>
        </w:trPr>
        <w:tc>
          <w:tcPr>
            <w:tcW w:w="10245" w:type="dxa"/>
            <w:gridSpan w:val="2"/>
            <w:tcBorders>
              <w:top w:val="single" w:sz="18" w:space="0" w:color="398AFF"/>
              <w:left w:val="single" w:sz="18" w:space="0" w:color="398AFF"/>
              <w:bottom w:val="single" w:sz="18" w:space="0" w:color="398AFF"/>
              <w:right w:val="single" w:sz="18" w:space="0" w:color="398AFF"/>
            </w:tcBorders>
            <w:shd w:fill="auto" w:val="clear"/>
            <w:vAlign w:val="center"/>
          </w:tcPr>
          <w:p>
            <w:pPr>
              <w:pStyle w:val="TNCBodyText"/>
              <w:spacing w:lineRule="auto" w:line="240" w:before="100" w:after="0"/>
              <w:rPr>
                <w:rFonts w:ascii="Verdana" w:hAnsi="Verdana" w:cs="Verdana"/>
                <w:b/>
                <w:b/>
                <w:bCs/>
              </w:rPr>
            </w:pPr>
            <w:r>
              <w:rPr>
                <w:rFonts w:cs="Verdana" w:ascii="Verdana" w:hAnsi="Verdana"/>
                <w:b/>
                <w:bCs/>
              </w:rPr>
              <w:t>Communication</w:t>
            </w:r>
          </w:p>
          <w:p>
            <w:pPr>
              <w:pStyle w:val="TNCBodyText"/>
              <w:numPr>
                <w:ilvl w:val="0"/>
                <w:numId w:val="6"/>
              </w:numPr>
              <w:spacing w:lineRule="auto" w:line="240" w:before="100" w:after="0"/>
              <w:rPr>
                <w:rFonts w:ascii="Verdana" w:hAnsi="Verdana" w:cs="Verdana"/>
              </w:rPr>
            </w:pPr>
            <w:r>
              <w:rPr>
                <w:rFonts w:cs="Verdana" w:ascii="Verdana" w:hAnsi="Verdana"/>
              </w:rPr>
              <w:t>Contribute to leadership meetings by reporting on the effectiveness of SEND provision and sharing information with the key stakeholders.</w:t>
            </w:r>
          </w:p>
          <w:p>
            <w:pPr>
              <w:pStyle w:val="TNCBodyText"/>
              <w:numPr>
                <w:ilvl w:val="0"/>
                <w:numId w:val="6"/>
              </w:numPr>
              <w:spacing w:lineRule="auto" w:line="240" w:before="100" w:after="0"/>
              <w:rPr>
                <w:rFonts w:ascii="Verdana" w:hAnsi="Verdana" w:cs="Verdana"/>
              </w:rPr>
            </w:pPr>
            <w:r>
              <w:rPr>
                <w:rFonts w:cs="Verdana" w:ascii="Verdana" w:hAnsi="Verdana"/>
              </w:rPr>
              <w:t>Ensure staff are aware of developments with regards to SEND provision and policy in their identified areas of responsibility.</w:t>
            </w:r>
          </w:p>
          <w:p>
            <w:pPr>
              <w:pStyle w:val="TNCBodyText"/>
              <w:numPr>
                <w:ilvl w:val="0"/>
                <w:numId w:val="6"/>
              </w:numPr>
              <w:spacing w:lineRule="auto" w:line="240" w:before="100" w:after="0"/>
              <w:rPr>
                <w:rFonts w:ascii="Verdana" w:hAnsi="Verdana" w:cs="Verdana"/>
              </w:rPr>
            </w:pPr>
            <w:r>
              <w:rPr>
                <w:rFonts w:cs="Verdana" w:ascii="Verdana" w:hAnsi="Verdana"/>
              </w:rPr>
              <w:t>Talk to pupils with SEND and listen to their feedback, with a view to developing a more effective support system.</w:t>
            </w:r>
          </w:p>
          <w:p>
            <w:pPr>
              <w:pStyle w:val="TNCBodyText"/>
              <w:numPr>
                <w:ilvl w:val="0"/>
                <w:numId w:val="6"/>
              </w:numPr>
              <w:spacing w:lineRule="auto" w:line="240" w:before="100" w:after="0"/>
              <w:rPr/>
            </w:pPr>
            <w:r>
              <w:rPr>
                <w:rFonts w:cs="Verdana" w:ascii="Verdana" w:hAnsi="Verdana"/>
              </w:rPr>
              <w:t xml:space="preserve">Develop and maintain effective relationships with parents, colleagues, the </w:t>
            </w:r>
            <w:r>
              <w:rPr>
                <w:rFonts w:cs="Verdana" w:ascii="Verdana" w:hAnsi="Verdana"/>
                <w:b/>
                <w:color w:val="398AFF"/>
                <w:u w:val="single"/>
              </w:rPr>
              <w:t>governing board</w:t>
            </w:r>
            <w:r>
              <w:rPr>
                <w:rFonts w:cs="Verdana" w:ascii="Verdana" w:hAnsi="Verdana"/>
                <w:color w:val="398AFF"/>
              </w:rPr>
              <w:t xml:space="preserve"> </w:t>
            </w:r>
            <w:r>
              <w:rPr>
                <w:rFonts w:cs="Verdana" w:ascii="Verdana" w:hAnsi="Verdana"/>
              </w:rPr>
              <w:t>and the local community.</w:t>
            </w:r>
          </w:p>
          <w:p>
            <w:pPr>
              <w:pStyle w:val="TNCBodyText"/>
              <w:numPr>
                <w:ilvl w:val="0"/>
                <w:numId w:val="6"/>
              </w:numPr>
              <w:spacing w:lineRule="auto" w:line="240" w:before="100" w:after="0"/>
              <w:rPr>
                <w:rFonts w:ascii="Verdana" w:hAnsi="Verdana" w:cs="Verdana"/>
              </w:rPr>
            </w:pPr>
            <w:r>
              <w:rPr>
                <w:rFonts w:cs="Verdana" w:ascii="Verdana" w:hAnsi="Verdana"/>
              </w:rPr>
              <w:t>Develop and maintain links with the LA advisory and support services.</w:t>
            </w:r>
          </w:p>
        </w:tc>
      </w:tr>
      <w:tr>
        <w:trPr>
          <w:trHeight w:val="283" w:hRule="atLeast"/>
        </w:trPr>
        <w:tc>
          <w:tcPr>
            <w:tcW w:w="10200" w:type="dxa"/>
            <w:gridSpan w:val="2"/>
            <w:tcBorders>
              <w:top w:val="single" w:sz="18" w:space="0" w:color="398AFF"/>
              <w:bottom w:val="single" w:sz="18" w:space="0" w:color="398AFF"/>
            </w:tcBorders>
            <w:shd w:fill="auto" w:val="clear"/>
            <w:vAlign w:val="center"/>
          </w:tcPr>
          <w:p>
            <w:pPr>
              <w:pStyle w:val="TNCBodyText"/>
              <w:snapToGrid w:val="false"/>
              <w:spacing w:lineRule="auto" w:line="240" w:before="100" w:after="0"/>
              <w:rPr>
                <w:rFonts w:ascii="Verdana" w:hAnsi="Verdana" w:cs="Verdana"/>
              </w:rPr>
            </w:pPr>
            <w:r>
              <w:rPr>
                <w:rFonts w:cs="Verdana" w:ascii="Verdana" w:hAnsi="Verdana"/>
              </w:rPr>
            </w:r>
          </w:p>
        </w:tc>
      </w:tr>
      <w:tr>
        <w:trPr>
          <w:trHeight w:val="567" w:hRule="atLeast"/>
        </w:trPr>
        <w:tc>
          <w:tcPr>
            <w:tcW w:w="10245" w:type="dxa"/>
            <w:gridSpan w:val="2"/>
            <w:tcBorders>
              <w:top w:val="single" w:sz="18" w:space="0" w:color="398AFF"/>
              <w:left w:val="single" w:sz="18" w:space="0" w:color="398AFF"/>
              <w:bottom w:val="single" w:sz="18" w:space="0" w:color="398AFF"/>
              <w:right w:val="single" w:sz="18" w:space="0" w:color="398AFF"/>
            </w:tcBorders>
            <w:shd w:fill="auto" w:val="clear"/>
            <w:vAlign w:val="center"/>
          </w:tcPr>
          <w:p>
            <w:pPr>
              <w:pStyle w:val="TNCBodyText"/>
              <w:spacing w:lineRule="auto" w:line="240" w:before="100" w:after="0"/>
              <w:rPr>
                <w:rFonts w:ascii="Verdana" w:hAnsi="Verdana" w:cs="Verdana"/>
                <w:b/>
                <w:b/>
                <w:bCs/>
              </w:rPr>
            </w:pPr>
            <w:r>
              <w:rPr>
                <w:rFonts w:cs="Verdana" w:ascii="Verdana" w:hAnsi="Verdana"/>
                <w:b/>
                <w:bCs/>
              </w:rPr>
              <w:t>Recording assessment</w:t>
            </w:r>
          </w:p>
          <w:p>
            <w:pPr>
              <w:pStyle w:val="TNCBodyText"/>
              <w:numPr>
                <w:ilvl w:val="0"/>
                <w:numId w:val="7"/>
              </w:numPr>
              <w:spacing w:lineRule="auto" w:line="240" w:before="100" w:after="0"/>
              <w:rPr>
                <w:rFonts w:ascii="Verdana" w:hAnsi="Verdana" w:cs="Verdana"/>
              </w:rPr>
            </w:pPr>
            <w:r>
              <w:rPr>
                <w:rFonts w:cs="Verdana" w:ascii="Verdana" w:hAnsi="Verdana"/>
              </w:rPr>
              <w:t xml:space="preserve">Ensure that the school’s administrative work for SEND is effectively completed. </w:t>
            </w:r>
          </w:p>
          <w:p>
            <w:pPr>
              <w:pStyle w:val="TNCBodyText"/>
              <w:numPr>
                <w:ilvl w:val="0"/>
                <w:numId w:val="7"/>
              </w:numPr>
              <w:spacing w:lineRule="auto" w:line="240" w:before="100" w:after="0"/>
              <w:rPr>
                <w:rFonts w:ascii="Verdana" w:hAnsi="Verdana" w:cs="Verdana"/>
              </w:rPr>
            </w:pPr>
            <w:r>
              <w:rPr>
                <w:rFonts w:cs="Verdana" w:ascii="Verdana" w:hAnsi="Verdana"/>
              </w:rPr>
              <w:t>Work with teachers to set challenging targets for raising achievement amongst pupils with SEND.</w:t>
            </w:r>
          </w:p>
        </w:tc>
      </w:tr>
    </w:tbl>
    <w:p>
      <w:pPr>
        <w:pStyle w:val="Normal"/>
        <w:rPr>
          <w:rFonts w:ascii="Verdana" w:hAnsi="Verdana" w:eastAsia="" w:cs="Verdana"/>
          <w:color w:val="2F5496"/>
          <w:sz w:val="32"/>
          <w:szCs w:val="32"/>
        </w:rPr>
      </w:pPr>
      <w:r>
        <w:rPr>
          <w:rFonts w:eastAsia="" w:cs="Verdana" w:ascii="Verdana" w:hAnsi="Verdana"/>
          <w:color w:val="2F5496"/>
          <w:sz w:val="32"/>
          <w:szCs w:val="32"/>
        </w:rPr>
      </w:r>
    </w:p>
    <w:p>
      <w:pPr>
        <w:pStyle w:val="Normal"/>
        <w:rPr>
          <w:rFonts w:ascii="Verdana" w:hAnsi="Verdana" w:eastAsia="" w:cs="Verdana"/>
          <w:color w:val="2F5496"/>
          <w:sz w:val="32"/>
          <w:szCs w:val="32"/>
        </w:rPr>
      </w:pPr>
      <w:r>
        <w:rPr>
          <w:rFonts w:eastAsia="" w:cs="Verdana" w:ascii="Verdana" w:hAnsi="Verdana"/>
          <w:color w:val="2F5496"/>
          <w:sz w:val="32"/>
          <w:szCs w:val="32"/>
        </w:rPr>
      </w:r>
      <w:r>
        <w:br w:type="page"/>
      </w:r>
    </w:p>
    <w:p>
      <w:pPr>
        <w:pStyle w:val="Heading1"/>
        <w:rPr>
          <w:rFonts w:ascii="Verdana" w:hAnsi="Verdana" w:cs="Verdana"/>
        </w:rPr>
      </w:pPr>
      <w:r>
        <w:rPr>
          <w:rFonts w:cs="Verdana" w:ascii="Verdana" w:hAnsi="Verdana"/>
        </w:rPr>
        <w:t xml:space="preserve">SENCO person specification </w:t>
      </w:r>
    </w:p>
    <w:tbl>
      <w:tblPr>
        <w:tblW w:w="10210" w:type="dxa"/>
        <w:jc w:val="center"/>
        <w:tblInd w:w="0" w:type="dxa"/>
        <w:tblCellMar>
          <w:top w:w="0" w:type="dxa"/>
          <w:left w:w="108" w:type="dxa"/>
          <w:bottom w:w="0" w:type="dxa"/>
          <w:right w:w="108" w:type="dxa"/>
        </w:tblCellMar>
      </w:tblPr>
      <w:tblGrid>
        <w:gridCol w:w="5097"/>
        <w:gridCol w:w="5113"/>
      </w:tblGrid>
      <w:tr>
        <w:trPr>
          <w:trHeight w:val="567" w:hRule="atLeast"/>
        </w:trPr>
        <w:tc>
          <w:tcPr>
            <w:tcW w:w="10210" w:type="dxa"/>
            <w:gridSpan w:val="2"/>
            <w:tcBorders>
              <w:top w:val="single" w:sz="4" w:space="0" w:color="000000"/>
              <w:left w:val="single" w:sz="4" w:space="0" w:color="000000"/>
              <w:bottom w:val="single" w:sz="4" w:space="0" w:color="000000"/>
              <w:right w:val="single" w:sz="4" w:space="0" w:color="000000"/>
            </w:tcBorders>
            <w:shd w:fill="398AFF" w:val="clear"/>
            <w:vAlign w:val="center"/>
          </w:tcPr>
          <w:p>
            <w:pPr>
              <w:pStyle w:val="TNCBodyText"/>
              <w:spacing w:lineRule="auto" w:line="240" w:before="100" w:after="0"/>
              <w:jc w:val="center"/>
              <w:rPr>
                <w:rFonts w:ascii="Verdana" w:hAnsi="Verdana" w:cs="Verdana"/>
                <w:b/>
                <w:b/>
                <w:bCs/>
              </w:rPr>
            </w:pPr>
            <w:r>
              <w:rPr>
                <w:rFonts w:cs="Verdana" w:ascii="Verdana" w:hAnsi="Verdana"/>
                <w:b/>
                <w:bCs/>
              </w:rPr>
              <w:t>Qualifications and training</w:t>
            </w:r>
          </w:p>
        </w:tc>
      </w:tr>
      <w:tr>
        <w:trPr>
          <w:trHeight w:val="567" w:hRule="atLeast"/>
        </w:trPr>
        <w:tc>
          <w:tcPr>
            <w:tcW w:w="5097" w:type="dxa"/>
            <w:tcBorders>
              <w:top w:val="single" w:sz="4" w:space="0" w:color="000000"/>
              <w:left w:val="single" w:sz="4" w:space="0" w:color="000000"/>
              <w:bottom w:val="single" w:sz="4" w:space="0" w:color="000000"/>
            </w:tcBorders>
            <w:shd w:fill="B1B1B1" w:val="clear"/>
            <w:vAlign w:val="center"/>
          </w:tcPr>
          <w:p>
            <w:pPr>
              <w:pStyle w:val="TNCBodyText"/>
              <w:spacing w:lineRule="auto" w:line="240" w:before="100" w:after="0"/>
              <w:jc w:val="center"/>
              <w:rPr>
                <w:rFonts w:ascii="Verdana" w:hAnsi="Verdana" w:cs="Verdana"/>
                <w:b/>
                <w:b/>
                <w:bCs/>
              </w:rPr>
            </w:pPr>
            <w:r>
              <w:rPr>
                <w:rFonts w:cs="Verdana" w:ascii="Verdana" w:hAnsi="Verdana"/>
                <w:b/>
                <w:bCs/>
              </w:rPr>
              <w:t>Essential</w:t>
            </w:r>
          </w:p>
        </w:tc>
        <w:tc>
          <w:tcPr>
            <w:tcW w:w="5113" w:type="dxa"/>
            <w:tcBorders>
              <w:top w:val="single" w:sz="4" w:space="0" w:color="000000"/>
              <w:left w:val="single" w:sz="4" w:space="0" w:color="000000"/>
              <w:bottom w:val="single" w:sz="4" w:space="0" w:color="000000"/>
              <w:right w:val="single" w:sz="4" w:space="0" w:color="000000"/>
            </w:tcBorders>
            <w:shd w:fill="B1B1B1" w:val="clear"/>
            <w:vAlign w:val="center"/>
          </w:tcPr>
          <w:p>
            <w:pPr>
              <w:pStyle w:val="TNCBodyText"/>
              <w:spacing w:lineRule="auto" w:line="240" w:before="100" w:after="0"/>
              <w:jc w:val="center"/>
              <w:rPr>
                <w:rFonts w:ascii="Verdana" w:hAnsi="Verdana" w:cs="Verdana"/>
                <w:b/>
                <w:b/>
                <w:bCs/>
              </w:rPr>
            </w:pPr>
            <w:r>
              <w:rPr>
                <w:rFonts w:cs="Verdana" w:ascii="Verdana" w:hAnsi="Verdana"/>
                <w:b/>
                <w:bCs/>
              </w:rPr>
              <w:t>Desirable</w:t>
            </w:r>
          </w:p>
        </w:tc>
      </w:tr>
      <w:tr>
        <w:trPr>
          <w:trHeight w:val="567" w:hRule="atLeast"/>
        </w:trPr>
        <w:tc>
          <w:tcPr>
            <w:tcW w:w="5097" w:type="dxa"/>
            <w:tcBorders>
              <w:top w:val="single" w:sz="4" w:space="0" w:color="000000"/>
              <w:left w:val="single" w:sz="4" w:space="0" w:color="000000"/>
              <w:bottom w:val="single" w:sz="4" w:space="0" w:color="000000"/>
            </w:tcBorders>
            <w:shd w:fill="FFFFFF" w:val="clear"/>
            <w:vAlign w:val="center"/>
          </w:tcPr>
          <w:p>
            <w:pPr>
              <w:pStyle w:val="TNCBodyText"/>
              <w:numPr>
                <w:ilvl w:val="0"/>
                <w:numId w:val="8"/>
              </w:numPr>
              <w:spacing w:lineRule="auto" w:line="240" w:before="100" w:after="0"/>
              <w:rPr>
                <w:rFonts w:ascii="Verdana" w:hAnsi="Verdana" w:cs="Verdana"/>
              </w:rPr>
            </w:pPr>
            <w:r>
              <w:rPr>
                <w:rFonts w:cs="Verdana" w:ascii="Verdana" w:hAnsi="Verdana"/>
              </w:rPr>
              <w:t xml:space="preserve">Have a degree in a relevant subject. </w:t>
            </w:r>
          </w:p>
          <w:p>
            <w:pPr>
              <w:pStyle w:val="TNCBodyText"/>
              <w:numPr>
                <w:ilvl w:val="0"/>
                <w:numId w:val="8"/>
              </w:numPr>
              <w:spacing w:lineRule="auto" w:line="240" w:before="100" w:after="0"/>
              <w:rPr>
                <w:rFonts w:ascii="Verdana" w:hAnsi="Verdana" w:cs="Verdana"/>
              </w:rPr>
            </w:pPr>
            <w:r>
              <w:rPr>
                <w:rFonts w:cs="Verdana" w:ascii="Verdana" w:hAnsi="Verdana"/>
              </w:rPr>
              <w:t xml:space="preserve">Have QTS. </w:t>
            </w:r>
          </w:p>
          <w:p>
            <w:pPr>
              <w:pStyle w:val="TNCBodyText"/>
              <w:numPr>
                <w:ilvl w:val="0"/>
                <w:numId w:val="8"/>
              </w:numPr>
              <w:spacing w:lineRule="auto" w:line="240" w:before="100" w:after="0"/>
              <w:rPr/>
            </w:pPr>
            <w:r>
              <w:rPr>
                <w:rFonts w:cs="Verdana" w:ascii="Verdana" w:hAnsi="Verdana"/>
              </w:rPr>
              <w:t xml:space="preserve">Have taught at </w:t>
            </w:r>
            <w:r>
              <w:rPr>
                <w:rFonts w:cs="Verdana" w:ascii="Verdana" w:hAnsi="Verdana"/>
                <w:bCs/>
                <w:color w:val="398AFF"/>
              </w:rPr>
              <w:t>KS1</w:t>
            </w:r>
            <w:r>
              <w:rPr>
                <w:rFonts w:cs="Verdana" w:ascii="Verdana" w:hAnsi="Verdana"/>
              </w:rPr>
              <w:t xml:space="preserve"> for at least two years.</w:t>
            </w:r>
          </w:p>
          <w:p>
            <w:pPr>
              <w:pStyle w:val="TNCBodyText"/>
              <w:numPr>
                <w:ilvl w:val="0"/>
                <w:numId w:val="8"/>
              </w:numPr>
              <w:spacing w:lineRule="auto" w:line="240" w:before="100" w:after="0"/>
              <w:rPr>
                <w:rFonts w:ascii="Verdana" w:hAnsi="Verdana" w:cs="Verdana"/>
              </w:rPr>
            </w:pPr>
            <w:r>
              <w:rPr>
                <w:rFonts w:cs="Verdana" w:ascii="Verdana" w:hAnsi="Verdana"/>
              </w:rPr>
              <w:t>At least 12 months experience working as a school SENCO or a commitment to achieve a National Award in Special Educational Needs within three years of appointment if having less than 12 months experience.</w:t>
            </w:r>
          </w:p>
        </w:tc>
        <w:tc>
          <w:tcPr>
            <w:tcW w:w="5113" w:type="dxa"/>
            <w:tcBorders>
              <w:top w:val="single" w:sz="4" w:space="0" w:color="000000"/>
              <w:left w:val="single" w:sz="4" w:space="0" w:color="000000"/>
              <w:bottom w:val="single" w:sz="4" w:space="0" w:color="000000"/>
              <w:right w:val="single" w:sz="4" w:space="0" w:color="000000"/>
            </w:tcBorders>
            <w:shd w:fill="FFFFFF" w:val="clear"/>
            <w:vAlign w:val="center"/>
          </w:tcPr>
          <w:p>
            <w:pPr>
              <w:pStyle w:val="TNCBodyText"/>
              <w:numPr>
                <w:ilvl w:val="0"/>
                <w:numId w:val="8"/>
              </w:numPr>
              <w:spacing w:lineRule="auto" w:line="240" w:before="100" w:after="0"/>
              <w:rPr>
                <w:rFonts w:ascii="Verdana" w:hAnsi="Verdana" w:cs="Verdana"/>
              </w:rPr>
            </w:pPr>
            <w:r>
              <w:rPr>
                <w:rFonts w:cs="Verdana" w:ascii="Verdana" w:hAnsi="Verdana"/>
              </w:rPr>
              <w:t>Relevant safeguarding and child protection training undertaken and a willingness to update training regularly.</w:t>
            </w:r>
          </w:p>
          <w:p>
            <w:pPr>
              <w:pStyle w:val="TNCBodyText"/>
              <w:numPr>
                <w:ilvl w:val="0"/>
                <w:numId w:val="8"/>
              </w:numPr>
              <w:spacing w:lineRule="auto" w:line="240" w:before="100" w:after="0"/>
              <w:rPr>
                <w:rFonts w:ascii="Verdana" w:hAnsi="Verdana" w:cs="Verdana"/>
              </w:rPr>
            </w:pPr>
            <w:r>
              <w:rPr>
                <w:rFonts w:cs="Verdana" w:ascii="Verdana" w:hAnsi="Verdana"/>
              </w:rPr>
              <w:t>Be a trained first aider.</w:t>
            </w:r>
          </w:p>
          <w:p>
            <w:pPr>
              <w:pStyle w:val="TNCBodyText"/>
              <w:numPr>
                <w:ilvl w:val="0"/>
                <w:numId w:val="8"/>
              </w:numPr>
              <w:spacing w:lineRule="auto" w:line="240" w:before="100" w:after="0"/>
              <w:rPr>
                <w:rFonts w:ascii="Verdana" w:hAnsi="Verdana" w:cs="Verdana"/>
              </w:rPr>
            </w:pPr>
            <w:r>
              <w:rPr>
                <w:rFonts w:cs="Verdana" w:ascii="Verdana" w:hAnsi="Verdana"/>
              </w:rPr>
              <w:t>Have achieved a National Award in Special Educational Needs Coordination.</w:t>
            </w:r>
          </w:p>
        </w:tc>
      </w:tr>
      <w:tr>
        <w:trPr>
          <w:trHeight w:val="567" w:hRule="atLeast"/>
        </w:trPr>
        <w:tc>
          <w:tcPr>
            <w:tcW w:w="10210" w:type="dxa"/>
            <w:gridSpan w:val="2"/>
            <w:tcBorders>
              <w:top w:val="single" w:sz="4" w:space="0" w:color="000000"/>
              <w:left w:val="single" w:sz="4" w:space="0" w:color="000000"/>
              <w:bottom w:val="single" w:sz="4" w:space="0" w:color="000000"/>
              <w:right w:val="single" w:sz="4" w:space="0" w:color="000000"/>
            </w:tcBorders>
            <w:shd w:fill="398AFF" w:val="clear"/>
            <w:vAlign w:val="center"/>
          </w:tcPr>
          <w:p>
            <w:pPr>
              <w:pStyle w:val="TNCBodyText"/>
              <w:spacing w:lineRule="auto" w:line="240" w:before="100" w:after="0"/>
              <w:jc w:val="center"/>
              <w:rPr>
                <w:rFonts w:ascii="Verdana" w:hAnsi="Verdana" w:cs="Verdana"/>
                <w:b/>
                <w:b/>
                <w:bCs/>
              </w:rPr>
            </w:pPr>
            <w:r>
              <w:rPr>
                <w:rFonts w:cs="Verdana" w:ascii="Verdana" w:hAnsi="Verdana"/>
                <w:b/>
                <w:bCs/>
              </w:rPr>
              <w:t>Skills and experience</w:t>
            </w:r>
          </w:p>
        </w:tc>
      </w:tr>
      <w:tr>
        <w:trPr>
          <w:trHeight w:val="567" w:hRule="atLeast"/>
        </w:trPr>
        <w:tc>
          <w:tcPr>
            <w:tcW w:w="5097" w:type="dxa"/>
            <w:tcBorders>
              <w:top w:val="single" w:sz="4" w:space="0" w:color="000000"/>
              <w:left w:val="single" w:sz="4" w:space="0" w:color="000000"/>
              <w:bottom w:val="single" w:sz="4" w:space="0" w:color="000000"/>
            </w:tcBorders>
            <w:shd w:fill="B1B1B1" w:val="clear"/>
            <w:vAlign w:val="center"/>
          </w:tcPr>
          <w:p>
            <w:pPr>
              <w:pStyle w:val="TNCBodyText"/>
              <w:spacing w:lineRule="auto" w:line="240" w:before="100" w:after="0"/>
              <w:jc w:val="center"/>
              <w:rPr>
                <w:rFonts w:ascii="Verdana" w:hAnsi="Verdana" w:cs="Verdana"/>
                <w:b/>
                <w:b/>
                <w:bCs/>
              </w:rPr>
            </w:pPr>
            <w:r>
              <w:rPr>
                <w:rFonts w:cs="Verdana" w:ascii="Verdana" w:hAnsi="Verdana"/>
                <w:b/>
                <w:bCs/>
              </w:rPr>
              <w:t>Essential</w:t>
            </w:r>
          </w:p>
        </w:tc>
        <w:tc>
          <w:tcPr>
            <w:tcW w:w="5113" w:type="dxa"/>
            <w:tcBorders>
              <w:top w:val="single" w:sz="4" w:space="0" w:color="000000"/>
              <w:left w:val="single" w:sz="4" w:space="0" w:color="000000"/>
              <w:bottom w:val="single" w:sz="4" w:space="0" w:color="000000"/>
              <w:right w:val="single" w:sz="4" w:space="0" w:color="000000"/>
            </w:tcBorders>
            <w:shd w:fill="B1B1B1" w:val="clear"/>
            <w:vAlign w:val="center"/>
          </w:tcPr>
          <w:p>
            <w:pPr>
              <w:pStyle w:val="TNCBodyText"/>
              <w:spacing w:lineRule="auto" w:line="240" w:before="100" w:after="0"/>
              <w:jc w:val="center"/>
              <w:rPr>
                <w:rFonts w:ascii="Verdana" w:hAnsi="Verdana" w:cs="Verdana"/>
                <w:b/>
                <w:b/>
                <w:bCs/>
              </w:rPr>
            </w:pPr>
            <w:r>
              <w:rPr>
                <w:rFonts w:cs="Verdana" w:ascii="Verdana" w:hAnsi="Verdana"/>
                <w:b/>
                <w:bCs/>
              </w:rPr>
              <w:t>Desirable</w:t>
            </w:r>
          </w:p>
        </w:tc>
      </w:tr>
      <w:tr>
        <w:trPr>
          <w:trHeight w:val="567" w:hRule="atLeast"/>
        </w:trPr>
        <w:tc>
          <w:tcPr>
            <w:tcW w:w="5097" w:type="dxa"/>
            <w:tcBorders>
              <w:top w:val="single" w:sz="4" w:space="0" w:color="000000"/>
              <w:left w:val="single" w:sz="4" w:space="0" w:color="000000"/>
              <w:bottom w:val="single" w:sz="4" w:space="0" w:color="000000"/>
            </w:tcBorders>
            <w:shd w:fill="auto" w:val="clear"/>
            <w:vAlign w:val="center"/>
          </w:tcPr>
          <w:p>
            <w:pPr>
              <w:pStyle w:val="TNCBodyText"/>
              <w:numPr>
                <w:ilvl w:val="0"/>
                <w:numId w:val="9"/>
              </w:numPr>
              <w:spacing w:lineRule="auto" w:line="240" w:before="100" w:after="0"/>
              <w:rPr>
                <w:rFonts w:ascii="Verdana" w:hAnsi="Verdana" w:cs="Verdana"/>
              </w:rPr>
            </w:pPr>
            <w:r>
              <w:rPr>
                <w:rFonts w:cs="Verdana" w:ascii="Verdana" w:hAnsi="Verdana"/>
              </w:rPr>
              <w:t>Experience of working with pupils with SEND, and pupils with emotional and behavioural difficulties.</w:t>
            </w:r>
          </w:p>
          <w:p>
            <w:pPr>
              <w:pStyle w:val="TNCBodyText"/>
              <w:numPr>
                <w:ilvl w:val="0"/>
                <w:numId w:val="9"/>
              </w:numPr>
              <w:spacing w:lineRule="auto" w:line="240" w:before="100" w:after="0"/>
              <w:rPr>
                <w:rFonts w:ascii="Verdana" w:hAnsi="Verdana" w:cs="Verdana"/>
              </w:rPr>
            </w:pPr>
            <w:r>
              <w:rPr>
                <w:rFonts w:cs="Verdana" w:ascii="Verdana" w:hAnsi="Verdana"/>
              </w:rPr>
              <w:t>Experience working alongside an SLT to develop the quality of the curriculum and learning activities.</w:t>
            </w:r>
          </w:p>
          <w:p>
            <w:pPr>
              <w:pStyle w:val="TNCBodyText"/>
              <w:numPr>
                <w:ilvl w:val="0"/>
                <w:numId w:val="9"/>
              </w:numPr>
              <w:spacing w:lineRule="auto" w:line="240" w:before="100" w:after="0"/>
              <w:rPr>
                <w:rFonts w:ascii="Verdana" w:hAnsi="Verdana" w:cs="Verdana"/>
              </w:rPr>
            </w:pPr>
            <w:r>
              <w:rPr>
                <w:rFonts w:cs="Verdana" w:ascii="Verdana" w:hAnsi="Verdana"/>
              </w:rPr>
              <w:t>Experience co-ordinating provision for children with SEND.</w:t>
            </w:r>
          </w:p>
          <w:p>
            <w:pPr>
              <w:pStyle w:val="TNCBodyText"/>
              <w:numPr>
                <w:ilvl w:val="0"/>
                <w:numId w:val="9"/>
              </w:numPr>
              <w:spacing w:lineRule="auto" w:line="240" w:before="100" w:after="0"/>
              <w:rPr>
                <w:rFonts w:ascii="Verdana" w:hAnsi="Verdana" w:cs="Verdana"/>
              </w:rPr>
            </w:pPr>
            <w:r>
              <w:rPr>
                <w:rFonts w:cs="Verdana" w:ascii="Verdana" w:hAnsi="Verdana"/>
              </w:rPr>
              <w:t xml:space="preserve">Experience of behaviour management techniques for groups and individuals with SEND. </w:t>
            </w:r>
          </w:p>
          <w:p>
            <w:pPr>
              <w:pStyle w:val="TNCBodyText"/>
              <w:numPr>
                <w:ilvl w:val="0"/>
                <w:numId w:val="9"/>
              </w:numPr>
              <w:spacing w:lineRule="auto" w:line="240" w:before="100" w:after="0"/>
              <w:rPr>
                <w:rFonts w:ascii="Verdana" w:hAnsi="Verdana" w:cs="Verdana"/>
              </w:rPr>
            </w:pPr>
            <w:r>
              <w:rPr>
                <w:rFonts w:cs="Verdana" w:ascii="Verdana" w:hAnsi="Verdana"/>
              </w:rPr>
              <w:t>Experience working effectively with colleagues to improve classroom practice.</w:t>
            </w:r>
          </w:p>
          <w:p>
            <w:pPr>
              <w:pStyle w:val="TNCBodyText"/>
              <w:numPr>
                <w:ilvl w:val="0"/>
                <w:numId w:val="9"/>
              </w:numPr>
              <w:spacing w:lineRule="auto" w:line="240" w:before="100" w:after="0"/>
              <w:rPr>
                <w:rFonts w:ascii="Verdana" w:hAnsi="Verdana" w:cs="Verdana"/>
              </w:rPr>
            </w:pPr>
            <w:r>
              <w:rPr>
                <w:rFonts w:cs="Verdana" w:ascii="Verdana" w:hAnsi="Verdana"/>
              </w:rPr>
              <w:t>Experience utilising and analysing effective assessment systems and recording and maintaining pupil records.</w:t>
            </w:r>
          </w:p>
        </w:tc>
        <w:tc>
          <w:tcPr>
            <w:tcW w:w="5113" w:type="dxa"/>
            <w:tcBorders>
              <w:top w:val="single" w:sz="4" w:space="0" w:color="000000"/>
              <w:left w:val="single" w:sz="4" w:space="0" w:color="000000"/>
              <w:bottom w:val="single" w:sz="4" w:space="0" w:color="000000"/>
              <w:right w:val="single" w:sz="4" w:space="0" w:color="000000"/>
            </w:tcBorders>
            <w:shd w:fill="auto" w:val="clear"/>
            <w:vAlign w:val="center"/>
          </w:tcPr>
          <w:p>
            <w:pPr>
              <w:pStyle w:val="TNCBodyText"/>
              <w:numPr>
                <w:ilvl w:val="0"/>
                <w:numId w:val="9"/>
              </w:numPr>
              <w:spacing w:lineRule="auto" w:line="240" w:before="100" w:after="0"/>
              <w:rPr>
                <w:rFonts w:ascii="Verdana" w:hAnsi="Verdana" w:cs="Verdana"/>
              </w:rPr>
            </w:pPr>
            <w:r>
              <w:rPr>
                <w:rFonts w:cs="Verdana" w:ascii="Verdana" w:hAnsi="Verdana"/>
              </w:rPr>
              <w:t>Experience liaising with a range of people, agencies, and professionals including, the parents of pupils, the LA and other providers.</w:t>
            </w:r>
          </w:p>
          <w:p>
            <w:pPr>
              <w:pStyle w:val="TNCBodyText"/>
              <w:numPr>
                <w:ilvl w:val="0"/>
                <w:numId w:val="9"/>
              </w:numPr>
              <w:spacing w:lineRule="auto" w:line="240" w:before="100" w:after="0"/>
              <w:rPr>
                <w:rFonts w:ascii="Verdana" w:hAnsi="Verdana" w:cs="Verdana"/>
              </w:rPr>
            </w:pPr>
            <w:r>
              <w:rPr>
                <w:rFonts w:cs="Verdana" w:ascii="Verdana" w:hAnsi="Verdana"/>
              </w:rPr>
              <w:t>Experience in making reasonable adjustments and access arrangements for pupils with SEND.</w:t>
            </w:r>
          </w:p>
        </w:tc>
      </w:tr>
      <w:tr>
        <w:trPr>
          <w:trHeight w:val="567" w:hRule="atLeast"/>
        </w:trPr>
        <w:tc>
          <w:tcPr>
            <w:tcW w:w="10210" w:type="dxa"/>
            <w:gridSpan w:val="2"/>
            <w:tcBorders>
              <w:top w:val="single" w:sz="4" w:space="0" w:color="000000"/>
              <w:left w:val="single" w:sz="4" w:space="0" w:color="000000"/>
              <w:bottom w:val="single" w:sz="4" w:space="0" w:color="000000"/>
              <w:right w:val="single" w:sz="4" w:space="0" w:color="000000"/>
            </w:tcBorders>
            <w:shd w:fill="398AFF" w:val="clear"/>
            <w:vAlign w:val="center"/>
          </w:tcPr>
          <w:p>
            <w:pPr>
              <w:pStyle w:val="TNCBodyText"/>
              <w:spacing w:lineRule="auto" w:line="240" w:before="100" w:after="0"/>
              <w:jc w:val="center"/>
              <w:rPr>
                <w:rFonts w:ascii="Verdana" w:hAnsi="Verdana" w:cs="Verdana"/>
                <w:b/>
                <w:b/>
                <w:bCs/>
              </w:rPr>
            </w:pPr>
            <w:r>
              <w:rPr>
                <w:rFonts w:cs="Verdana" w:ascii="Verdana" w:hAnsi="Verdana"/>
                <w:b/>
                <w:bCs/>
              </w:rPr>
              <w:t>Knowledge</w:t>
            </w:r>
          </w:p>
        </w:tc>
      </w:tr>
      <w:tr>
        <w:trPr>
          <w:trHeight w:val="567" w:hRule="atLeast"/>
        </w:trPr>
        <w:tc>
          <w:tcPr>
            <w:tcW w:w="5097" w:type="dxa"/>
            <w:tcBorders>
              <w:top w:val="single" w:sz="4" w:space="0" w:color="000000"/>
              <w:left w:val="single" w:sz="4" w:space="0" w:color="000000"/>
              <w:bottom w:val="single" w:sz="4" w:space="0" w:color="000000"/>
            </w:tcBorders>
            <w:shd w:fill="B1B1B1" w:val="clear"/>
            <w:vAlign w:val="center"/>
          </w:tcPr>
          <w:p>
            <w:pPr>
              <w:pStyle w:val="TNCBodyText"/>
              <w:spacing w:lineRule="auto" w:line="240" w:before="100" w:after="0"/>
              <w:jc w:val="center"/>
              <w:rPr>
                <w:rFonts w:ascii="Verdana" w:hAnsi="Verdana" w:cs="Verdana"/>
                <w:b/>
                <w:b/>
                <w:bCs/>
              </w:rPr>
            </w:pPr>
            <w:r>
              <w:rPr>
                <w:rFonts w:cs="Verdana" w:ascii="Verdana" w:hAnsi="Verdana"/>
                <w:b/>
                <w:bCs/>
              </w:rPr>
              <w:t>Essential</w:t>
            </w:r>
          </w:p>
        </w:tc>
        <w:tc>
          <w:tcPr>
            <w:tcW w:w="5113" w:type="dxa"/>
            <w:tcBorders>
              <w:top w:val="single" w:sz="4" w:space="0" w:color="000000"/>
              <w:left w:val="single" w:sz="4" w:space="0" w:color="000000"/>
              <w:bottom w:val="single" w:sz="4" w:space="0" w:color="000000"/>
              <w:right w:val="single" w:sz="4" w:space="0" w:color="000000"/>
            </w:tcBorders>
            <w:shd w:fill="B1B1B1" w:val="clear"/>
            <w:vAlign w:val="center"/>
          </w:tcPr>
          <w:p>
            <w:pPr>
              <w:pStyle w:val="TNCBodyText"/>
              <w:spacing w:lineRule="auto" w:line="240" w:before="100" w:after="0"/>
              <w:jc w:val="center"/>
              <w:rPr>
                <w:rFonts w:ascii="Verdana" w:hAnsi="Verdana" w:cs="Verdana"/>
                <w:b/>
                <w:b/>
                <w:bCs/>
              </w:rPr>
            </w:pPr>
            <w:r>
              <w:rPr>
                <w:rFonts w:cs="Verdana" w:ascii="Verdana" w:hAnsi="Verdana"/>
                <w:b/>
                <w:bCs/>
              </w:rPr>
              <w:t>Desirable</w:t>
            </w:r>
          </w:p>
        </w:tc>
      </w:tr>
      <w:tr>
        <w:trPr>
          <w:trHeight w:val="567" w:hRule="atLeast"/>
        </w:trPr>
        <w:tc>
          <w:tcPr>
            <w:tcW w:w="5097" w:type="dxa"/>
            <w:tcBorders>
              <w:top w:val="single" w:sz="4" w:space="0" w:color="000000"/>
              <w:left w:val="single" w:sz="4" w:space="0" w:color="000000"/>
              <w:bottom w:val="single" w:sz="4" w:space="0" w:color="000000"/>
            </w:tcBorders>
            <w:shd w:fill="FFFFFF" w:val="clear"/>
            <w:vAlign w:val="center"/>
          </w:tcPr>
          <w:p>
            <w:pPr>
              <w:pStyle w:val="TNCBodyText"/>
              <w:numPr>
                <w:ilvl w:val="0"/>
                <w:numId w:val="9"/>
              </w:numPr>
              <w:spacing w:lineRule="auto" w:line="240" w:before="100" w:after="0"/>
              <w:rPr>
                <w:rFonts w:ascii="Verdana" w:hAnsi="Verdana" w:cs="Verdana"/>
              </w:rPr>
            </w:pPr>
            <w:r>
              <w:rPr>
                <w:rFonts w:cs="Verdana" w:ascii="Verdana" w:hAnsi="Verdana"/>
              </w:rPr>
              <w:t>Sound knowledge of the SEND Code of Practice and its application.</w:t>
            </w:r>
          </w:p>
          <w:p>
            <w:pPr>
              <w:pStyle w:val="TNCBodyText"/>
              <w:numPr>
                <w:ilvl w:val="0"/>
                <w:numId w:val="9"/>
              </w:numPr>
              <w:spacing w:lineRule="auto" w:line="240" w:before="100" w:after="0"/>
              <w:rPr>
                <w:rFonts w:ascii="Verdana" w:hAnsi="Verdana" w:cs="Verdana"/>
              </w:rPr>
            </w:pPr>
            <w:r>
              <w:rPr>
                <w:rFonts w:cs="Verdana" w:ascii="Verdana" w:hAnsi="Verdana"/>
              </w:rPr>
              <w:t>Sound knowledge of the graduated approach to providing SEN support.</w:t>
            </w:r>
          </w:p>
          <w:p>
            <w:pPr>
              <w:pStyle w:val="TNCBodyText"/>
              <w:numPr>
                <w:ilvl w:val="0"/>
                <w:numId w:val="9"/>
              </w:numPr>
              <w:spacing w:lineRule="auto" w:line="240" w:before="100" w:after="0"/>
              <w:rPr>
                <w:rFonts w:ascii="Verdana" w:hAnsi="Verdana" w:cs="Verdana"/>
              </w:rPr>
            </w:pPr>
            <w:r>
              <w:rPr>
                <w:rFonts w:cs="Verdana" w:ascii="Verdana" w:hAnsi="Verdana"/>
              </w:rPr>
              <w:t xml:space="preserve">A good understanding of the principles of school improvement. </w:t>
            </w:r>
          </w:p>
        </w:tc>
        <w:tc>
          <w:tcPr>
            <w:tcW w:w="5113" w:type="dxa"/>
            <w:tcBorders>
              <w:top w:val="single" w:sz="4" w:space="0" w:color="000000"/>
              <w:left w:val="single" w:sz="4" w:space="0" w:color="000000"/>
              <w:bottom w:val="single" w:sz="4" w:space="0" w:color="000000"/>
              <w:right w:val="single" w:sz="4" w:space="0" w:color="000000"/>
            </w:tcBorders>
            <w:shd w:fill="FFFFFF" w:val="clear"/>
            <w:vAlign w:val="center"/>
          </w:tcPr>
          <w:p>
            <w:pPr>
              <w:pStyle w:val="TNCBodyText"/>
              <w:numPr>
                <w:ilvl w:val="0"/>
                <w:numId w:val="9"/>
              </w:numPr>
              <w:spacing w:lineRule="auto" w:line="240" w:before="100" w:after="0"/>
              <w:rPr>
                <w:rFonts w:ascii="Verdana" w:hAnsi="Verdana" w:cs="Verdana"/>
              </w:rPr>
            </w:pPr>
            <w:r>
              <w:rPr>
                <w:rFonts w:cs="Verdana" w:ascii="Verdana" w:hAnsi="Verdana"/>
              </w:rPr>
              <w:t xml:space="preserve">Demonstrate a greater understanding of how pupils with SEND develop. </w:t>
            </w:r>
          </w:p>
          <w:p>
            <w:pPr>
              <w:pStyle w:val="TNCBodyText"/>
              <w:numPr>
                <w:ilvl w:val="0"/>
                <w:numId w:val="9"/>
              </w:numPr>
              <w:spacing w:lineRule="auto" w:line="240" w:before="100" w:after="0"/>
              <w:rPr>
                <w:rFonts w:ascii="Verdana" w:hAnsi="Verdana" w:cs="Verdana"/>
              </w:rPr>
            </w:pPr>
            <w:r>
              <w:rPr>
                <w:rFonts w:cs="Verdana" w:ascii="Verdana" w:hAnsi="Verdana"/>
              </w:rPr>
              <w:t xml:space="preserve">Demonstrate a sound understanding of SEND funding on offer. </w:t>
            </w:r>
          </w:p>
        </w:tc>
      </w:tr>
      <w:tr>
        <w:trPr>
          <w:trHeight w:val="567" w:hRule="atLeast"/>
        </w:trPr>
        <w:tc>
          <w:tcPr>
            <w:tcW w:w="10210" w:type="dxa"/>
            <w:gridSpan w:val="2"/>
            <w:tcBorders>
              <w:top w:val="single" w:sz="4" w:space="0" w:color="000000"/>
              <w:left w:val="single" w:sz="4" w:space="0" w:color="000000"/>
              <w:bottom w:val="single" w:sz="4" w:space="0" w:color="000000"/>
              <w:right w:val="single" w:sz="4" w:space="0" w:color="000000"/>
            </w:tcBorders>
            <w:shd w:fill="398AFF" w:val="clear"/>
            <w:vAlign w:val="center"/>
          </w:tcPr>
          <w:p>
            <w:pPr>
              <w:pStyle w:val="TNCBodyText"/>
              <w:spacing w:lineRule="auto" w:line="240" w:before="100" w:after="0"/>
              <w:jc w:val="center"/>
              <w:rPr>
                <w:rFonts w:ascii="Verdana" w:hAnsi="Verdana" w:cs="Verdana"/>
                <w:b/>
                <w:b/>
                <w:bCs/>
              </w:rPr>
            </w:pPr>
            <w:r>
              <w:rPr>
                <w:rFonts w:cs="Verdana" w:ascii="Verdana" w:hAnsi="Verdana"/>
                <w:b/>
                <w:bCs/>
              </w:rPr>
              <w:t>Personal traits</w:t>
            </w:r>
          </w:p>
        </w:tc>
      </w:tr>
      <w:tr>
        <w:trPr>
          <w:trHeight w:val="567" w:hRule="atLeast"/>
        </w:trPr>
        <w:tc>
          <w:tcPr>
            <w:tcW w:w="10210" w:type="dxa"/>
            <w:gridSpan w:val="2"/>
            <w:tcBorders>
              <w:top w:val="single" w:sz="4" w:space="0" w:color="000000"/>
              <w:left w:val="single" w:sz="4" w:space="0" w:color="000000"/>
              <w:bottom w:val="single" w:sz="4" w:space="0" w:color="000000"/>
              <w:right w:val="single" w:sz="4" w:space="0" w:color="000000"/>
            </w:tcBorders>
            <w:shd w:fill="B1B1B1" w:val="clear"/>
            <w:vAlign w:val="center"/>
          </w:tcPr>
          <w:p>
            <w:pPr>
              <w:pStyle w:val="TNCBodyText"/>
              <w:spacing w:lineRule="auto" w:line="240" w:before="100" w:after="0"/>
              <w:jc w:val="center"/>
              <w:rPr>
                <w:rFonts w:ascii="Verdana" w:hAnsi="Verdana" w:cs="Verdana"/>
                <w:b/>
                <w:b/>
                <w:bCs/>
              </w:rPr>
            </w:pPr>
            <w:r>
              <w:rPr>
                <w:rFonts w:cs="Verdana" w:ascii="Verdana" w:hAnsi="Verdana"/>
                <w:b/>
                <w:bCs/>
              </w:rPr>
              <w:t>The successful candidate will have</w:t>
            </w:r>
          </w:p>
        </w:tc>
      </w:tr>
      <w:tr>
        <w:trPr>
          <w:trHeight w:val="567" w:hRule="atLeast"/>
        </w:trPr>
        <w:tc>
          <w:tcPr>
            <w:tcW w:w="10210"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TNCBodyText"/>
              <w:numPr>
                <w:ilvl w:val="0"/>
                <w:numId w:val="10"/>
              </w:numPr>
              <w:spacing w:lineRule="auto" w:line="240" w:before="100" w:after="0"/>
              <w:rPr>
                <w:rFonts w:ascii="Verdana" w:hAnsi="Verdana" w:cs="Verdana"/>
              </w:rPr>
            </w:pPr>
            <w:r>
              <w:rPr>
                <w:rFonts w:cs="Verdana" w:ascii="Verdana" w:hAnsi="Verdana"/>
              </w:rPr>
              <w:t>A commitment to equal opportunities and empowering others.</w:t>
            </w:r>
          </w:p>
          <w:p>
            <w:pPr>
              <w:pStyle w:val="TNCBodyText"/>
              <w:numPr>
                <w:ilvl w:val="0"/>
                <w:numId w:val="10"/>
              </w:numPr>
              <w:spacing w:lineRule="auto" w:line="240" w:before="100" w:after="0"/>
              <w:rPr>
                <w:rFonts w:ascii="Verdana" w:hAnsi="Verdana" w:cs="Verdana"/>
              </w:rPr>
            </w:pPr>
            <w:r>
              <w:rPr>
                <w:rFonts w:cs="Verdana" w:ascii="Verdana" w:hAnsi="Verdana"/>
              </w:rPr>
              <w:t>Excellent communication skills, both written and verbal.</w:t>
            </w:r>
          </w:p>
          <w:p>
            <w:pPr>
              <w:pStyle w:val="TNCBodyText"/>
              <w:numPr>
                <w:ilvl w:val="0"/>
                <w:numId w:val="10"/>
              </w:numPr>
              <w:spacing w:lineRule="auto" w:line="240" w:before="100" w:after="0"/>
              <w:rPr>
                <w:rFonts w:ascii="Verdana" w:hAnsi="Verdana" w:cs="Verdana"/>
              </w:rPr>
            </w:pPr>
            <w:r>
              <w:rPr>
                <w:rFonts w:cs="Verdana" w:ascii="Verdana" w:hAnsi="Verdana"/>
              </w:rPr>
              <w:t>Excellent time management and organisation skills.</w:t>
            </w:r>
          </w:p>
          <w:p>
            <w:pPr>
              <w:pStyle w:val="TNCBodyText"/>
              <w:numPr>
                <w:ilvl w:val="0"/>
                <w:numId w:val="10"/>
              </w:numPr>
              <w:spacing w:lineRule="auto" w:line="240" w:before="100" w:after="0"/>
              <w:rPr>
                <w:rFonts w:ascii="Verdana" w:hAnsi="Verdana" w:cs="Verdana"/>
              </w:rPr>
            </w:pPr>
            <w:r>
              <w:rPr>
                <w:rFonts w:cs="Verdana" w:ascii="Verdana" w:hAnsi="Verdana"/>
              </w:rPr>
              <w:t>An ability to manage and prioritise a demanding workload, and that of others.</w:t>
            </w:r>
          </w:p>
          <w:p>
            <w:pPr>
              <w:pStyle w:val="TNCBodyText"/>
              <w:numPr>
                <w:ilvl w:val="0"/>
                <w:numId w:val="10"/>
              </w:numPr>
              <w:spacing w:lineRule="auto" w:line="240" w:before="100" w:after="0"/>
              <w:rPr>
                <w:rFonts w:ascii="Verdana" w:hAnsi="Verdana" w:cs="Verdana"/>
              </w:rPr>
            </w:pPr>
            <w:r>
              <w:rPr>
                <w:rFonts w:cs="Verdana" w:ascii="Verdana" w:hAnsi="Verdana"/>
              </w:rPr>
              <w:t>A flexible approach towards working practices.</w:t>
            </w:r>
          </w:p>
          <w:p>
            <w:pPr>
              <w:pStyle w:val="TNCBodyText"/>
              <w:numPr>
                <w:ilvl w:val="0"/>
                <w:numId w:val="10"/>
              </w:numPr>
              <w:spacing w:lineRule="auto" w:line="240" w:before="100" w:after="0"/>
              <w:rPr>
                <w:rFonts w:ascii="Verdana" w:hAnsi="Verdana" w:cs="Verdana"/>
              </w:rPr>
            </w:pPr>
            <w:r>
              <w:rPr>
                <w:rFonts w:cs="Verdana" w:ascii="Verdana" w:hAnsi="Verdana"/>
              </w:rPr>
              <w:t>The ability to work as both part of a team and independently.</w:t>
            </w:r>
          </w:p>
          <w:p>
            <w:pPr>
              <w:pStyle w:val="TNCBodyText"/>
              <w:numPr>
                <w:ilvl w:val="0"/>
                <w:numId w:val="10"/>
              </w:numPr>
              <w:spacing w:lineRule="auto" w:line="240" w:before="100" w:after="0"/>
              <w:rPr>
                <w:rFonts w:ascii="Verdana" w:hAnsi="Verdana" w:cs="Verdana"/>
              </w:rPr>
            </w:pPr>
            <w:r>
              <w:rPr>
                <w:rFonts w:cs="Verdana" w:ascii="Verdana" w:hAnsi="Verdana"/>
              </w:rPr>
              <w:t>An ability to work with pupils and their families in a sensitive and positive way.</w:t>
            </w:r>
          </w:p>
          <w:p>
            <w:pPr>
              <w:pStyle w:val="TNCBodyText"/>
              <w:numPr>
                <w:ilvl w:val="0"/>
                <w:numId w:val="10"/>
              </w:numPr>
              <w:spacing w:lineRule="auto" w:line="240" w:before="100" w:after="0"/>
              <w:rPr>
                <w:rFonts w:ascii="Verdana" w:hAnsi="Verdana" w:cs="Verdana"/>
              </w:rPr>
            </w:pPr>
            <w:r>
              <w:rPr>
                <w:rFonts w:cs="Verdana" w:ascii="Verdana" w:hAnsi="Verdana"/>
              </w:rPr>
              <w:t>An ability to establish and maintain professional working relationships.</w:t>
            </w:r>
          </w:p>
          <w:p>
            <w:pPr>
              <w:pStyle w:val="TNCBodyText"/>
              <w:numPr>
                <w:ilvl w:val="0"/>
                <w:numId w:val="10"/>
              </w:numPr>
              <w:spacing w:lineRule="auto" w:line="240" w:before="100" w:after="0"/>
              <w:rPr>
                <w:rFonts w:ascii="Verdana" w:hAnsi="Verdana" w:cs="Verdana"/>
              </w:rPr>
            </w:pPr>
            <w:r>
              <w:rPr>
                <w:rFonts w:cs="Verdana" w:ascii="Verdana" w:hAnsi="Verdana"/>
              </w:rPr>
              <w:t>High levels of drive, energy and integrity.</w:t>
            </w:r>
          </w:p>
          <w:p>
            <w:pPr>
              <w:pStyle w:val="TNCBodyText"/>
              <w:numPr>
                <w:ilvl w:val="0"/>
                <w:numId w:val="10"/>
              </w:numPr>
              <w:spacing w:lineRule="auto" w:line="240" w:before="100" w:after="0"/>
              <w:rPr>
                <w:rFonts w:ascii="Verdana" w:hAnsi="Verdana" w:cs="Verdana"/>
              </w:rPr>
            </w:pPr>
            <w:r>
              <w:rPr>
                <w:rFonts w:cs="Verdana" w:ascii="Verdana" w:hAnsi="Verdana"/>
              </w:rPr>
              <w:t>Demonstrable leadership qualities, e.g. assertiveness, confidence, resilience.</w:t>
            </w:r>
          </w:p>
          <w:p>
            <w:pPr>
              <w:pStyle w:val="TNCBodyText"/>
              <w:numPr>
                <w:ilvl w:val="0"/>
                <w:numId w:val="10"/>
              </w:numPr>
              <w:spacing w:lineRule="auto" w:line="240" w:before="100" w:after="0"/>
              <w:rPr>
                <w:rFonts w:ascii="Verdana" w:hAnsi="Verdana" w:cs="Verdana"/>
              </w:rPr>
            </w:pPr>
            <w:r>
              <w:rPr>
                <w:rFonts w:cs="Verdana" w:ascii="Verdana" w:hAnsi="Verdana"/>
              </w:rPr>
              <w:t>An ability to model good practice and engage in self-reflection.</w:t>
            </w:r>
          </w:p>
          <w:p>
            <w:pPr>
              <w:pStyle w:val="TNCBodyText"/>
              <w:numPr>
                <w:ilvl w:val="0"/>
                <w:numId w:val="10"/>
              </w:numPr>
              <w:spacing w:lineRule="auto" w:line="240" w:before="100" w:after="0"/>
              <w:rPr>
                <w:rFonts w:ascii="Verdana" w:hAnsi="Verdana" w:cs="Verdana"/>
              </w:rPr>
            </w:pPr>
            <w:r>
              <w:rPr>
                <w:rFonts w:cs="Verdana" w:ascii="Verdana" w:hAnsi="Verdana"/>
              </w:rPr>
              <w:t>A commitment to improve current skills and demonstrate a willingness to develop further.</w:t>
            </w:r>
          </w:p>
          <w:p>
            <w:pPr>
              <w:pStyle w:val="TNCBodyText"/>
              <w:numPr>
                <w:ilvl w:val="0"/>
                <w:numId w:val="10"/>
              </w:numPr>
              <w:spacing w:lineRule="auto" w:line="240" w:before="100" w:after="0"/>
              <w:rPr>
                <w:rFonts w:ascii="Verdana" w:hAnsi="Verdana" w:cs="Verdana"/>
              </w:rPr>
            </w:pPr>
            <w:r>
              <w:rPr>
                <w:rFonts w:cs="Verdana" w:ascii="Verdana" w:hAnsi="Verdana"/>
              </w:rPr>
              <w:t>A commitment to contributing to the wider school community.</w:t>
            </w:r>
          </w:p>
        </w:tc>
      </w:tr>
      <w:tr>
        <w:trPr>
          <w:trHeight w:val="567" w:hRule="atLeast"/>
        </w:trPr>
        <w:tc>
          <w:tcPr>
            <w:tcW w:w="10210" w:type="dxa"/>
            <w:gridSpan w:val="2"/>
            <w:tcBorders>
              <w:top w:val="single" w:sz="4" w:space="0" w:color="000000"/>
              <w:left w:val="single" w:sz="4" w:space="0" w:color="000000"/>
              <w:bottom w:val="single" w:sz="4" w:space="0" w:color="000000"/>
              <w:right w:val="single" w:sz="4" w:space="0" w:color="000000"/>
            </w:tcBorders>
            <w:shd w:fill="398AFF" w:val="clear"/>
            <w:vAlign w:val="center"/>
          </w:tcPr>
          <w:p>
            <w:pPr>
              <w:pStyle w:val="TNCBodyText"/>
              <w:spacing w:lineRule="auto" w:line="240" w:before="100" w:after="0"/>
              <w:jc w:val="center"/>
              <w:rPr>
                <w:rFonts w:ascii="Verdana" w:hAnsi="Verdana" w:cs="Verdana"/>
                <w:b/>
                <w:b/>
                <w:bCs/>
              </w:rPr>
            </w:pPr>
            <w:r>
              <w:rPr>
                <w:rFonts w:cs="Verdana" w:ascii="Verdana" w:hAnsi="Verdana"/>
                <w:b/>
                <w:bCs/>
              </w:rPr>
              <w:t>Additional requirements</w:t>
            </w:r>
          </w:p>
        </w:tc>
      </w:tr>
      <w:tr>
        <w:trPr>
          <w:trHeight w:val="567" w:hRule="atLeast"/>
        </w:trPr>
        <w:tc>
          <w:tcPr>
            <w:tcW w:w="10210" w:type="dxa"/>
            <w:gridSpan w:val="2"/>
            <w:tcBorders>
              <w:top w:val="single" w:sz="4" w:space="0" w:color="000000"/>
              <w:left w:val="single" w:sz="4" w:space="0" w:color="000000"/>
              <w:bottom w:val="single" w:sz="4" w:space="0" w:color="000000"/>
              <w:right w:val="single" w:sz="4" w:space="0" w:color="000000"/>
            </w:tcBorders>
            <w:shd w:fill="B1B1B1" w:val="clear"/>
            <w:vAlign w:val="center"/>
          </w:tcPr>
          <w:p>
            <w:pPr>
              <w:pStyle w:val="TNCBodyText"/>
              <w:spacing w:lineRule="auto" w:line="240" w:before="100" w:after="0"/>
              <w:jc w:val="center"/>
              <w:rPr>
                <w:rFonts w:ascii="Verdana" w:hAnsi="Verdana" w:cs="Verdana"/>
                <w:b/>
                <w:b/>
                <w:bCs/>
              </w:rPr>
            </w:pPr>
            <w:r>
              <w:rPr>
                <w:rFonts w:cs="Verdana" w:ascii="Verdana" w:hAnsi="Verdana"/>
                <w:b/>
                <w:bCs/>
              </w:rPr>
              <w:t>The successful candidate will be</w:t>
            </w:r>
          </w:p>
        </w:tc>
      </w:tr>
      <w:tr>
        <w:trPr>
          <w:trHeight w:val="567" w:hRule="atLeast"/>
        </w:trPr>
        <w:tc>
          <w:tcPr>
            <w:tcW w:w="10210"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TNCBodyText"/>
              <w:numPr>
                <w:ilvl w:val="0"/>
                <w:numId w:val="11"/>
              </w:numPr>
              <w:spacing w:lineRule="auto" w:line="240" w:before="100" w:after="0"/>
              <w:rPr>
                <w:rFonts w:ascii="Verdana" w:hAnsi="Verdana" w:cs="Verdana"/>
              </w:rPr>
            </w:pPr>
            <w:r>
              <w:rPr>
                <w:rFonts w:cs="Verdana" w:ascii="Verdana" w:hAnsi="Verdana"/>
              </w:rPr>
              <w:t>Flexible, reliable, enthusiastic and patient.</w:t>
            </w:r>
          </w:p>
          <w:p>
            <w:pPr>
              <w:pStyle w:val="TNCBodyText"/>
              <w:numPr>
                <w:ilvl w:val="0"/>
                <w:numId w:val="11"/>
              </w:numPr>
              <w:spacing w:lineRule="auto" w:line="240" w:before="100" w:after="0"/>
              <w:rPr>
                <w:rFonts w:ascii="Verdana" w:hAnsi="Verdana" w:cs="Verdana"/>
              </w:rPr>
            </w:pPr>
            <w:r>
              <w:rPr>
                <w:rFonts w:cs="Verdana" w:ascii="Verdana" w:hAnsi="Verdana"/>
              </w:rPr>
              <w:t>Inspiring and influential.</w:t>
            </w:r>
          </w:p>
          <w:p>
            <w:pPr>
              <w:pStyle w:val="TNCBodyText"/>
              <w:numPr>
                <w:ilvl w:val="0"/>
                <w:numId w:val="11"/>
              </w:numPr>
              <w:spacing w:lineRule="auto" w:line="240" w:before="100" w:after="0"/>
              <w:rPr>
                <w:rFonts w:ascii="Verdana" w:hAnsi="Verdana" w:cs="Verdana"/>
              </w:rPr>
            </w:pPr>
            <w:r>
              <w:rPr>
                <w:rFonts w:cs="Verdana" w:ascii="Verdana" w:hAnsi="Verdana"/>
              </w:rPr>
              <w:t>Able to take control, lead and manage situations.</w:t>
            </w:r>
          </w:p>
          <w:p>
            <w:pPr>
              <w:pStyle w:val="TNCBodyText"/>
              <w:numPr>
                <w:ilvl w:val="0"/>
                <w:numId w:val="11"/>
              </w:numPr>
              <w:spacing w:lineRule="auto" w:line="240" w:before="100" w:after="0"/>
              <w:rPr>
                <w:rFonts w:ascii="Verdana" w:hAnsi="Verdana" w:cs="Verdana"/>
              </w:rPr>
            </w:pPr>
            <w:r>
              <w:rPr>
                <w:rFonts w:cs="Verdana" w:ascii="Verdana" w:hAnsi="Verdana"/>
              </w:rPr>
              <w:t>Consistent in modelling good practice and behaviour.</w:t>
            </w:r>
          </w:p>
        </w:tc>
      </w:tr>
      <w:tr>
        <w:trPr>
          <w:trHeight w:val="567" w:hRule="atLeast"/>
        </w:trPr>
        <w:tc>
          <w:tcPr>
            <w:tcW w:w="10210" w:type="dxa"/>
            <w:gridSpan w:val="2"/>
            <w:tcBorders>
              <w:top w:val="single" w:sz="4" w:space="0" w:color="000000"/>
              <w:left w:val="single" w:sz="4" w:space="0" w:color="000000"/>
              <w:bottom w:val="single" w:sz="4" w:space="0" w:color="000000"/>
              <w:right w:val="single" w:sz="4" w:space="0" w:color="000000"/>
            </w:tcBorders>
            <w:shd w:fill="auto" w:val="clear"/>
          </w:tcPr>
          <w:p>
            <w:pPr>
              <w:pStyle w:val="TNCBodyText"/>
              <w:spacing w:lineRule="auto" w:line="240" w:before="100" w:after="0"/>
              <w:jc w:val="center"/>
              <w:rPr>
                <w:rFonts w:ascii="Verdana" w:hAnsi="Verdana" w:cs="Verdana"/>
                <w:b/>
                <w:b/>
                <w:bCs/>
              </w:rPr>
            </w:pPr>
            <w:r>
              <w:rPr>
                <w:rFonts w:cs="Verdana" w:ascii="Verdana" w:hAnsi="Verdana"/>
                <w:b/>
                <w:bCs/>
              </w:rPr>
              <w:t>Additional Details</w:t>
            </w:r>
          </w:p>
        </w:tc>
      </w:tr>
      <w:tr>
        <w:trPr>
          <w:trHeight w:val="567" w:hRule="atLeast"/>
        </w:trPr>
        <w:tc>
          <w:tcPr>
            <w:tcW w:w="1021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ind w:left="34" w:right="317" w:hanging="0"/>
              <w:jc w:val="both"/>
              <w:rPr>
                <w:rFonts w:ascii="Verdana" w:hAnsi="Verdana" w:cs="Verdana"/>
                <w:lang w:val="en-US"/>
              </w:rPr>
            </w:pPr>
            <w:r>
              <w:rPr>
                <w:rFonts w:cs="Verdana" w:ascii="Verdana" w:hAnsi="Verdana"/>
                <w:lang w:val="en-US"/>
              </w:rPr>
              <w:t>Stockport Council is committed to safeguarding and promoting the welfare of children and young people and expects all staff within this area to share this commitment and to have understanding of the common core skills and knowledge:</w:t>
            </w:r>
          </w:p>
          <w:p>
            <w:pPr>
              <w:pStyle w:val="Level1"/>
              <w:spacing w:lineRule="auto" w:line="240" w:before="0" w:after="0"/>
              <w:jc w:val="both"/>
              <w:rPr>
                <w:rFonts w:ascii="Verdana" w:hAnsi="Verdana" w:cs="Verdana"/>
                <w:sz w:val="22"/>
                <w:szCs w:val="22"/>
              </w:rPr>
            </w:pPr>
            <w:r>
              <w:rPr>
                <w:rFonts w:cs="Verdana" w:ascii="Verdana" w:hAnsi="Verdana"/>
                <w:sz w:val="22"/>
                <w:szCs w:val="22"/>
              </w:rPr>
            </w:r>
          </w:p>
          <w:p>
            <w:pPr>
              <w:pStyle w:val="Level1"/>
              <w:spacing w:lineRule="auto" w:line="240" w:before="0" w:after="0"/>
              <w:jc w:val="both"/>
              <w:rPr>
                <w:rFonts w:ascii="Verdana" w:hAnsi="Verdana" w:cs="Verdana"/>
                <w:sz w:val="22"/>
                <w:szCs w:val="22"/>
              </w:rPr>
            </w:pPr>
            <w:r>
              <w:rPr>
                <w:rFonts w:cs="Verdana" w:ascii="Verdana" w:hAnsi="Verdana"/>
                <w:sz w:val="22"/>
                <w:szCs w:val="22"/>
              </w:rPr>
              <w:t>To work positively and inclusively with colleagues and customers so that the Council provides a workplace and delivers services that do not discriminate against people on the grounds of their age, sexuality, religion or belief, race, gender or disabilities.</w:t>
            </w:r>
          </w:p>
          <w:p>
            <w:pPr>
              <w:pStyle w:val="Level1"/>
              <w:spacing w:lineRule="auto" w:line="240" w:before="0" w:after="0"/>
              <w:jc w:val="both"/>
              <w:rPr>
                <w:rFonts w:ascii="Verdana" w:hAnsi="Verdana" w:cs="Verdana"/>
                <w:sz w:val="22"/>
                <w:szCs w:val="22"/>
              </w:rPr>
            </w:pPr>
            <w:r>
              <w:rPr>
                <w:rFonts w:cs="Verdana" w:ascii="Verdana" w:hAnsi="Verdana"/>
                <w:sz w:val="22"/>
                <w:szCs w:val="22"/>
              </w:rPr>
            </w:r>
          </w:p>
          <w:p>
            <w:pPr>
              <w:pStyle w:val="Level1"/>
              <w:spacing w:lineRule="auto" w:line="240" w:before="0" w:after="0"/>
              <w:jc w:val="both"/>
              <w:rPr>
                <w:rFonts w:ascii="Verdana" w:hAnsi="Verdana" w:cs="Verdana"/>
                <w:sz w:val="22"/>
                <w:szCs w:val="22"/>
              </w:rPr>
            </w:pPr>
            <w:r>
              <w:rPr>
                <w:rFonts w:cs="Verdana" w:ascii="Verdana" w:hAnsi="Verdana"/>
                <w:sz w:val="22"/>
                <w:szCs w:val="22"/>
              </w:rPr>
              <w:t>To fulfill personal requirements, where appropriate, with regard to Council policies and procedures as they relate to health, safety and welfare, customer care, emergency, evacuation, security and the promotion of the Council’s priorities.</w:t>
            </w:r>
          </w:p>
          <w:p>
            <w:pPr>
              <w:pStyle w:val="Level1"/>
              <w:spacing w:lineRule="auto" w:line="240" w:before="0" w:after="0"/>
              <w:jc w:val="both"/>
              <w:rPr>
                <w:rFonts w:ascii="Verdana" w:hAnsi="Verdana" w:cs="Verdana"/>
                <w:sz w:val="22"/>
                <w:szCs w:val="22"/>
              </w:rPr>
            </w:pPr>
            <w:r>
              <w:rPr>
                <w:rFonts w:cs="Verdana" w:ascii="Verdana" w:hAnsi="Verdana"/>
                <w:sz w:val="22"/>
                <w:szCs w:val="22"/>
              </w:rPr>
            </w:r>
          </w:p>
          <w:p>
            <w:pPr>
              <w:pStyle w:val="Normal"/>
              <w:spacing w:lineRule="auto" w:line="240" w:before="0" w:after="0"/>
              <w:jc w:val="both"/>
              <w:rPr>
                <w:rFonts w:ascii="Verdana" w:hAnsi="Verdana" w:cs="Verdana"/>
              </w:rPr>
            </w:pPr>
            <w:r>
              <w:rPr>
                <w:rFonts w:cs="Verdana" w:ascii="Verdana" w:hAnsi="Verdana"/>
              </w:rPr>
              <w:t>To work flexibly in the interests of the service. This may include undertaking other duties provided that these are appropriate to the employee’s background, skills and abilities. Where this occurs there will be consultation with the employee and any necessary personal development will be taken into account.</w:t>
            </w:r>
          </w:p>
          <w:p>
            <w:pPr>
              <w:pStyle w:val="TNCBodyText"/>
              <w:spacing w:lineRule="auto" w:line="240" w:before="100" w:after="0"/>
              <w:rPr>
                <w:rFonts w:ascii="Verdana" w:hAnsi="Verdana" w:cs="Verdana"/>
                <w:b/>
                <w:b/>
                <w:bCs/>
              </w:rPr>
            </w:pPr>
            <w:r>
              <w:rPr>
                <w:rFonts w:cs="Verdana" w:ascii="Verdana" w:hAnsi="Verdana"/>
                <w:b/>
                <w:bCs/>
              </w:rPr>
            </w:r>
          </w:p>
        </w:tc>
      </w:tr>
    </w:tbl>
    <w:p>
      <w:pPr>
        <w:pStyle w:val="Normal"/>
        <w:tabs>
          <w:tab w:val="clear" w:pos="720"/>
          <w:tab w:val="left" w:pos="6414" w:leader="none"/>
        </w:tabs>
        <w:spacing w:before="0" w:after="160"/>
        <w:rPr/>
      </w:pPr>
      <w:r>
        <w:rPr/>
      </w:r>
    </w:p>
    <w:sectPr>
      <w:headerReference w:type="default" r:id="rId2"/>
      <w:type w:val="nextPage"/>
      <w:pgSz w:w="11906" w:h="16838"/>
      <w:pgMar w:left="709" w:right="709" w:header="567"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Poppins-Regular">
    <w:charset w:val="00"/>
    <w:family w:val="roman"/>
    <w:pitch w:val="variable"/>
  </w:font>
  <w:font w:name="Poppins SemiBold">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Verdana">
    <w:charset w:val="00"/>
    <w:family w:val="roman"/>
    <w:pitch w:val="variable"/>
  </w:font>
  <w:font w:name="Comic Sans MS">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itle"/>
      <w:widowControl w:val="false"/>
      <w:spacing w:before="200" w:after="200"/>
      <w:jc w:val="center"/>
      <w:rPr>
        <w:rFonts w:ascii="Comic Sans MS" w:hAnsi="Comic Sans MS" w:cs="Comic Sans MS"/>
        <w:b/>
        <w:b/>
        <w:bCs/>
        <w:color w:val="0070C0"/>
        <w:sz w:val="24"/>
        <w:szCs w:val="24"/>
      </w:rPr>
    </w:pPr>
    <w:r>
      <w:rPr>
        <w:rFonts w:cs="Comic Sans MS" w:ascii="Comic Sans MS" w:hAnsi="Comic Sans MS"/>
        <w:b/>
        <w:bCs/>
        <w:color w:val="0070C0"/>
        <w:sz w:val="24"/>
        <w:szCs w:val="24"/>
      </w:rPr>
      <w:drawing>
        <wp:anchor behindDoc="0" distT="0" distB="0" distL="114300" distR="114300" simplePos="0" locked="0" layoutInCell="1" allowOverlap="1" relativeHeight="7">
          <wp:simplePos x="0" y="0"/>
          <wp:positionH relativeFrom="margin">
            <wp:align>center</wp:align>
          </wp:positionH>
          <wp:positionV relativeFrom="paragraph">
            <wp:posOffset>13335</wp:posOffset>
          </wp:positionV>
          <wp:extent cx="713105" cy="713105"/>
          <wp:effectExtent l="0" t="0" r="0" b="0"/>
          <wp:wrapTight wrapText="bothSides">
            <wp:wrapPolygon edited="0">
              <wp:start x="7407" y="0"/>
              <wp:lineTo x="3932" y="1703"/>
              <wp:lineTo x="-124" y="6297"/>
              <wp:lineTo x="-124" y="13178"/>
              <wp:lineTo x="2199" y="18920"/>
              <wp:lineTo x="6827" y="20634"/>
              <wp:lineTo x="7988" y="20634"/>
              <wp:lineTo x="13205" y="20634"/>
              <wp:lineTo x="17262" y="18920"/>
              <wp:lineTo x="20737" y="14327"/>
              <wp:lineTo x="20737" y="6872"/>
              <wp:lineTo x="17833" y="2277"/>
              <wp:lineTo x="14358" y="0"/>
              <wp:lineTo x="7407" y="0"/>
            </wp:wrapPolygon>
          </wp:wrapTigh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7075" t="7042" r="7676" b="8237"/>
                  <a:stretch>
                    <a:fillRect/>
                  </a:stretch>
                </pic:blipFill>
                <pic:spPr bwMode="auto">
                  <a:xfrm>
                    <a:off x="0" y="0"/>
                    <a:ext cx="713105" cy="713105"/>
                  </a:xfrm>
                  <a:prstGeom prst="rect">
                    <a:avLst/>
                  </a:prstGeom>
                </pic:spPr>
              </pic:pic>
            </a:graphicData>
          </a:graphic>
        </wp:anchor>
      </w:drawing>
    </w:r>
  </w:p>
  <w:p>
    <w:pPr>
      <w:pStyle w:val="Title"/>
      <w:widowControl w:val="false"/>
      <w:rPr>
        <w:rFonts w:ascii="Comic Sans MS" w:hAnsi="Comic Sans MS" w:cs="Comic Sans MS"/>
        <w:b/>
        <w:b/>
        <w:bCs/>
        <w:color w:val="0070C0"/>
        <w:sz w:val="24"/>
        <w:szCs w:val="24"/>
      </w:rPr>
    </w:pPr>
    <w:r>
      <w:rPr>
        <w:rFonts w:cs="Comic Sans MS" w:ascii="Comic Sans MS" w:hAnsi="Comic Sans MS"/>
        <w:b/>
        <w:bCs/>
        <w:color w:val="0070C0"/>
        <w:sz w:val="24"/>
        <w:szCs w:val="24"/>
      </w:rPr>
    </w:r>
  </w:p>
  <w:p>
    <w:pPr>
      <w:pStyle w:val="Title"/>
      <w:widowControl w:val="false"/>
      <w:jc w:val="center"/>
      <w:rPr>
        <w:rFonts w:ascii="Comic Sans MS" w:hAnsi="Comic Sans MS" w:cs="Comic Sans MS"/>
        <w:b/>
        <w:b/>
        <w:bCs/>
        <w:color w:val="0070C0"/>
        <w:sz w:val="24"/>
        <w:szCs w:val="24"/>
      </w:rPr>
    </w:pPr>
    <w:r>
      <w:rPr>
        <w:rFonts w:cs="Comic Sans MS" w:ascii="Comic Sans MS" w:hAnsi="Comic Sans MS"/>
        <w:b/>
        <w:bCs/>
        <w:color w:val="0070C0"/>
        <w:sz w:val="24"/>
        <w:szCs w:val="24"/>
      </w:rPr>
      <w:t>Banks Lane Infant &amp; Nursery School</w:t>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7">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8">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9">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10">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1">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Poppins-Regular" w:hAnsi="Poppins-Regular" w:eastAsia="Poppins-Regular"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spacing w:before="200" w:after="200"/>
      <w:outlineLvl w:val="0"/>
    </w:pPr>
    <w:rPr>
      <w:rFonts w:ascii="Poppins SemiBold" w:hAnsi="Poppins SemiBold" w:eastAsia="" w:cs=""/>
      <w:color w:val="2F5496"/>
      <w:sz w:val="32"/>
      <w:szCs w:val="32"/>
    </w:rPr>
  </w:style>
  <w:style w:type="paragraph" w:styleId="Heading2">
    <w:name w:val="Heading 2"/>
    <w:basedOn w:val="Normal"/>
    <w:next w:val="Normal"/>
    <w:qFormat/>
    <w:pPr>
      <w:keepNext w:val="true"/>
      <w:keepLines/>
      <w:numPr>
        <w:ilvl w:val="1"/>
        <w:numId w:val="1"/>
      </w:numPr>
      <w:spacing w:before="200" w:after="200"/>
      <w:outlineLvl w:val="1"/>
    </w:pPr>
    <w:rPr>
      <w:rFonts w:ascii="Poppins SemiBold" w:hAnsi="Poppins SemiBold" w:eastAsia="" w:cs=""/>
      <w:color w:val="2F5496"/>
      <w:sz w:val="26"/>
      <w:szCs w:val="26"/>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rFonts w:ascii="Symbol" w:hAnsi="Symbol" w:cs="Symbo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Uiprovider">
    <w:name w:val="ui-provider"/>
    <w:basedOn w:val="DefaultParagraphFont"/>
    <w:qFormat/>
    <w:rPr/>
  </w:style>
  <w:style w:type="character" w:styleId="Heading1Char">
    <w:name w:val="Heading 1 Char"/>
    <w:basedOn w:val="DefaultParagraphFont"/>
    <w:qFormat/>
    <w:rPr>
      <w:rFonts w:ascii="Poppins SemiBold" w:hAnsi="Poppins SemiBold" w:eastAsia="" w:cs=""/>
      <w:color w:val="2F5496"/>
      <w:sz w:val="32"/>
      <w:szCs w:val="32"/>
    </w:rPr>
  </w:style>
  <w:style w:type="character" w:styleId="Heading2Char">
    <w:name w:val="Heading 2 Char"/>
    <w:basedOn w:val="DefaultParagraphFont"/>
    <w:qFormat/>
    <w:rPr>
      <w:rFonts w:ascii="Poppins SemiBold" w:hAnsi="Poppins SemiBold" w:eastAsia="" w:cs=""/>
      <w:color w:val="2F5496"/>
      <w:sz w:val="26"/>
      <w:szCs w:val="26"/>
    </w:rPr>
  </w:style>
  <w:style w:type="character" w:styleId="TNCBodyTextChar">
    <w:name w:val="TNC Body Text Char"/>
    <w:basedOn w:val="DefaultParagraphFont"/>
    <w:qFormat/>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TitleChar">
    <w:name w:val="Title Char"/>
    <w:basedOn w:val="DefaultParagraphFont"/>
    <w:qFormat/>
    <w:rPr>
      <w:rFonts w:ascii="Poppins SemiBold" w:hAnsi="Poppins SemiBold" w:eastAsia="" w:cs=""/>
      <w:spacing w:val="-10"/>
      <w:kern w:val="2"/>
      <w:sz w:val="56"/>
      <w:szCs w:val="56"/>
    </w:rPr>
  </w:style>
  <w:style w:type="character" w:styleId="ListParagraphChar">
    <w:name w:val="List Paragraph Char"/>
    <w:basedOn w:val="DefaultParagraphFont"/>
    <w:qFormat/>
    <w:rPr>
      <w:rFonts w:ascii="Arial" w:hAnsi="Arial" w:cs="Arial"/>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TNCBodyText">
    <w:name w:val="TNC Body Text"/>
    <w:basedOn w:val="Normal"/>
    <w:qFormat/>
    <w:pPr>
      <w:spacing w:lineRule="auto" w:line="276" w:before="100" w:after="100"/>
      <w:jc w:val="both"/>
    </w:pPr>
    <w:rPr/>
  </w:style>
  <w:style w:type="paragraph" w:styleId="Title">
    <w:name w:val="Title"/>
    <w:basedOn w:val="Normal"/>
    <w:next w:val="Normal"/>
    <w:qFormat/>
    <w:pPr>
      <w:spacing w:lineRule="auto" w:line="276" w:before="200" w:after="200"/>
    </w:pPr>
    <w:rPr>
      <w:rFonts w:ascii="Poppins SemiBold" w:hAnsi="Poppins SemiBold" w:eastAsia="" w:cs=""/>
      <w:spacing w:val="-10"/>
      <w:kern w:val="2"/>
      <w:sz w:val="56"/>
      <w:szCs w:val="56"/>
    </w:rPr>
  </w:style>
  <w:style w:type="paragraph" w:styleId="ListParagraph">
    <w:name w:val="List Paragraph"/>
    <w:basedOn w:val="Normal"/>
    <w:qFormat/>
    <w:pPr>
      <w:spacing w:lineRule="auto" w:line="276" w:before="0" w:after="0"/>
      <w:ind w:left="851" w:right="0" w:hanging="567"/>
      <w:contextualSpacing/>
      <w:jc w:val="both"/>
    </w:pPr>
    <w:rPr>
      <w:rFonts w:ascii="Arial" w:hAnsi="Arial" w:cs="Arial"/>
    </w:rPr>
  </w:style>
  <w:style w:type="paragraph" w:styleId="NoSpacing">
    <w:name w:val="No Spacing"/>
    <w:qFormat/>
    <w:pPr>
      <w:widowControl/>
      <w:suppressAutoHyphens w:val="true"/>
      <w:bidi w:val="0"/>
      <w:spacing w:lineRule="auto" w:line="240" w:before="0" w:after="0"/>
      <w:jc w:val="left"/>
    </w:pPr>
    <w:rPr>
      <w:rFonts w:ascii="Poppins-Regular" w:hAnsi="Poppins-Regular" w:eastAsia="Poppins-Regular" w:cs=""/>
      <w:color w:val="auto"/>
      <w:kern w:val="0"/>
      <w:sz w:val="22"/>
      <w:szCs w:val="22"/>
      <w:lang w:val="en-GB" w:eastAsia="en-US" w:bidi="ar-SA"/>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Style21">
    <w:name w:val="Style2"/>
    <w:basedOn w:val="Heading1"/>
    <w:qFormat/>
    <w:pPr>
      <w:keepNext w:val="false"/>
      <w:keepLines w:val="false"/>
      <w:numPr>
        <w:ilvl w:val="0"/>
        <w:numId w:val="0"/>
      </w:numPr>
      <w:spacing w:lineRule="auto" w:line="240" w:before="0" w:after="0"/>
      <w:ind w:left="357" w:right="0" w:hanging="357"/>
      <w:jc w:val="both"/>
    </w:pPr>
    <w:rPr>
      <w:rFonts w:eastAsia="Poppins-Regular" w:cs="Poppins-Regular"/>
      <w:color w:val="auto"/>
      <w:sz w:val="22"/>
    </w:rPr>
  </w:style>
  <w:style w:type="paragraph" w:styleId="PolicyLevel3">
    <w:name w:val="Policy Level 3"/>
    <w:basedOn w:val="Style21"/>
    <w:qFormat/>
    <w:pPr>
      <w:ind w:left="1224" w:right="0" w:hanging="504"/>
    </w:pPr>
    <w:rPr/>
  </w:style>
  <w:style w:type="paragraph" w:styleId="Level1">
    <w:name w:val="Level 1"/>
    <w:qFormat/>
    <w:pPr>
      <w:widowControl w:val="false"/>
      <w:suppressAutoHyphens w:val="true"/>
      <w:bidi w:val="0"/>
      <w:spacing w:lineRule="auto" w:line="240" w:before="0" w:after="0"/>
      <w:jc w:val="left"/>
    </w:pPr>
    <w:rPr>
      <w:rFonts w:ascii="Times New Roman" w:hAnsi="Times New Roman" w:eastAsia="Times New Roman" w:cs="Times New Roman"/>
      <w:color w:val="auto"/>
      <w:kern w:val="0"/>
      <w:sz w:val="24"/>
      <w:szCs w:val="20"/>
      <w:lang w:val="en-US" w:eastAsia="en-US"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TNC Word Template Portrait</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