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924" w:type="dxa"/>
        <w:jc w:val="left"/>
        <w:tblInd w:w="103" w:type="dxa"/>
        <w:tblCellMar>
          <w:top w:w="0" w:type="dxa"/>
          <w:left w:w="108" w:type="dxa"/>
          <w:bottom w:w="0" w:type="dxa"/>
          <w:right w:w="108" w:type="dxa"/>
        </w:tblCellMar>
      </w:tblPr>
      <w:tblGrid>
        <w:gridCol w:w="5386"/>
        <w:gridCol w:w="5538"/>
      </w:tblGrid>
      <w:tr>
        <w:trPr>
          <w:trHeight w:val="2932" w:hRule="atLeast"/>
        </w:trPr>
        <w:tc>
          <w:tcPr>
            <w:tcW w:w="10924" w:type="dxa"/>
            <w:gridSpan w:val="2"/>
            <w:tcBorders>
              <w:top w:val="double" w:sz="4" w:space="0" w:color="4472C4"/>
              <w:left w:val="double" w:sz="4" w:space="0" w:color="4472C4"/>
              <w:bottom w:val="double" w:sz="4" w:space="0" w:color="4472C4"/>
              <w:right w:val="double" w:sz="4" w:space="0" w:color="4472C4"/>
            </w:tcBorders>
            <w:shd w:fill="auto" w:val="clear"/>
          </w:tcPr>
          <w:p>
            <w:pPr>
              <w:pStyle w:val="Header"/>
              <w:snapToGrid w:val="false"/>
              <w:rPr/>
            </w:pPr>
            <w:r>
              <w:rPr/>
              <w:drawing>
                <wp:anchor behindDoc="0" distT="0" distB="0" distL="114300" distR="114300" simplePos="0" locked="0" layoutInCell="1" allowOverlap="1" relativeHeight="4">
                  <wp:simplePos x="0" y="0"/>
                  <wp:positionH relativeFrom="page">
                    <wp:posOffset>2842895</wp:posOffset>
                  </wp:positionH>
                  <wp:positionV relativeFrom="paragraph">
                    <wp:posOffset>62230</wp:posOffset>
                  </wp:positionV>
                  <wp:extent cx="918210" cy="847725"/>
                  <wp:effectExtent l="0" t="0" r="0" b="0"/>
                  <wp:wrapTight wrapText="bothSides">
                    <wp:wrapPolygon edited="0">
                      <wp:start x="-69" y="0"/>
                      <wp:lineTo x="-69" y="21274"/>
                      <wp:lineTo x="21037" y="21274"/>
                      <wp:lineTo x="21037" y="0"/>
                      <wp:lineTo x="-69"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6" r="-24" b="-26"/>
                          <a:stretch>
                            <a:fillRect/>
                          </a:stretch>
                        </pic:blipFill>
                        <pic:spPr bwMode="auto">
                          <a:xfrm>
                            <a:off x="0" y="0"/>
                            <a:ext cx="918210" cy="847725"/>
                          </a:xfrm>
                          <a:prstGeom prst="rect">
                            <a:avLst/>
                          </a:prstGeom>
                        </pic:spPr>
                      </pic:pic>
                    </a:graphicData>
                  </a:graphic>
                </wp:anchor>
              </w:drawing>
            </w:r>
          </w:p>
          <w:p>
            <w:pPr>
              <w:pStyle w:val="Header"/>
              <w:tabs>
                <w:tab w:val="center" w:pos="4153" w:leader="none"/>
                <w:tab w:val="center" w:pos="4514" w:leader="none"/>
                <w:tab w:val="right" w:pos="8306" w:leader="none"/>
              </w:tabs>
              <w:rPr>
                <w:rFonts w:ascii="Arial" w:hAnsi="Arial" w:cs="Arial"/>
              </w:rPr>
            </w:pPr>
            <w:r>
              <w:rPr>
                <w:rFonts w:cs="Arial" w:ascii="Arial" w:hAnsi="Arial"/>
              </w:rPr>
            </w:r>
          </w:p>
          <w:p>
            <w:pPr>
              <w:pStyle w:val="Header"/>
              <w:tabs>
                <w:tab w:val="center" w:pos="4153" w:leader="none"/>
                <w:tab w:val="center" w:pos="4514" w:leader="none"/>
                <w:tab w:val="right" w:pos="8306" w:leader="none"/>
              </w:tabs>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jc w:val="center"/>
              <w:rPr>
                <w:rFonts w:ascii="Arial" w:hAnsi="Arial" w:cs="Arial"/>
                <w:b/>
                <w:b/>
                <w:color w:val="FF0000"/>
              </w:rPr>
            </w:pPr>
            <w:r>
              <w:rPr>
                <w:rFonts w:cs="Arial" w:ascii="Arial" w:hAnsi="Arial"/>
                <w:b/>
                <w:color w:val="FF0000"/>
              </w:rPr>
            </w:r>
          </w:p>
          <w:p>
            <w:pPr>
              <w:pStyle w:val="Header"/>
              <w:jc w:val="center"/>
              <w:rPr>
                <w:rFonts w:ascii="Arial" w:hAnsi="Arial" w:cs="Arial"/>
                <w:b/>
                <w:b/>
                <w:color w:val="FF0000"/>
                <w:sz w:val="24"/>
                <w:szCs w:val="24"/>
              </w:rPr>
            </w:pPr>
            <w:r>
              <w:rPr>
                <w:rFonts w:cs="Arial" w:ascii="Arial" w:hAnsi="Arial"/>
                <w:b/>
                <w:color w:val="FF0000"/>
                <w:sz w:val="24"/>
                <w:szCs w:val="24"/>
              </w:rPr>
            </w:r>
          </w:p>
          <w:p>
            <w:pPr>
              <w:pStyle w:val="Header"/>
              <w:jc w:val="center"/>
              <w:rPr/>
            </w:pPr>
            <w:r>
              <w:rPr>
                <w:rFonts w:cs="Arial" w:ascii="Arial" w:hAnsi="Arial"/>
                <w:b/>
                <w:color w:val="FF0000"/>
                <w:sz w:val="24"/>
                <w:szCs w:val="24"/>
              </w:rPr>
              <w:t>“</w:t>
            </w:r>
            <w:r>
              <w:rPr>
                <w:rFonts w:cs="Arial" w:ascii="Arial" w:hAnsi="Arial"/>
                <w:b/>
                <w:color w:val="FF0000"/>
                <w:sz w:val="24"/>
                <w:szCs w:val="24"/>
              </w:rPr>
              <w:t>Learning for Life”</w:t>
            </w:r>
          </w:p>
          <w:p>
            <w:pPr>
              <w:pStyle w:val="Header"/>
              <w:jc w:val="center"/>
              <w:rPr>
                <w:rFonts w:ascii="Arial" w:hAnsi="Arial" w:cs="Arial"/>
                <w:b/>
                <w:b/>
                <w:sz w:val="36"/>
                <w:szCs w:val="36"/>
              </w:rPr>
            </w:pPr>
            <w:r>
              <w:rPr>
                <w:rFonts w:cs="Arial" w:ascii="Arial" w:hAnsi="Arial"/>
                <w:b/>
                <w:sz w:val="36"/>
                <w:szCs w:val="36"/>
              </w:rPr>
              <w:t>CASTLE HILL HIGH SCHOOL</w:t>
            </w:r>
          </w:p>
          <w:p>
            <w:pPr>
              <w:pStyle w:val="Header"/>
              <w:jc w:val="center"/>
              <w:rPr>
                <w:rFonts w:ascii="Arial" w:hAnsi="Arial" w:cs="Arial"/>
                <w:b/>
                <w:b/>
                <w:sz w:val="36"/>
                <w:szCs w:val="36"/>
              </w:rPr>
            </w:pPr>
            <w:r>
              <w:rPr>
                <w:rFonts w:cs="Arial" w:ascii="Arial" w:hAnsi="Arial"/>
                <w:b/>
                <w:sz w:val="36"/>
                <w:szCs w:val="36"/>
              </w:rPr>
            </w:r>
          </w:p>
          <w:p>
            <w:pPr>
              <w:pStyle w:val="Normal"/>
              <w:tabs>
                <w:tab w:val="left" w:pos="720" w:leader="none"/>
                <w:tab w:val="left" w:pos="1440" w:leader="none"/>
                <w:tab w:val="left" w:pos="2160" w:leader="none"/>
                <w:tab w:val="left" w:pos="2880" w:leader="none"/>
                <w:tab w:val="left" w:pos="6570" w:leader="none"/>
              </w:tabs>
              <w:jc w:val="center"/>
              <w:rPr>
                <w:rFonts w:ascii="Arial" w:hAnsi="Arial" w:cs="Arial"/>
                <w:b/>
                <w:b/>
                <w:sz w:val="32"/>
                <w:szCs w:val="32"/>
              </w:rPr>
            </w:pPr>
            <w:r>
              <w:rPr>
                <w:rFonts w:cs="Arial" w:ascii="Arial" w:hAnsi="Arial"/>
                <w:b/>
                <w:sz w:val="32"/>
                <w:szCs w:val="32"/>
              </w:rPr>
              <w:t xml:space="preserve">Job Description </w:t>
            </w:r>
          </w:p>
        </w:tc>
      </w:tr>
      <w:tr>
        <w:trPr/>
        <w:tc>
          <w:tcPr>
            <w:tcW w:w="5386" w:type="dxa"/>
            <w:tcBorders>
              <w:top w:val="double" w:sz="4" w:space="0" w:color="4472C4"/>
              <w:left w:val="double" w:sz="4" w:space="0" w:color="4472C4"/>
              <w:bottom w:val="double" w:sz="4" w:space="0" w:color="4472C4"/>
            </w:tcBorders>
            <w:shd w:fill="auto" w:val="clear"/>
          </w:tcPr>
          <w:p>
            <w:pPr>
              <w:pStyle w:val="Normal"/>
              <w:snapToGrid w:val="false"/>
              <w:rPr>
                <w:rFonts w:ascii="Arial" w:hAnsi="Arial" w:cs="Arial"/>
                <w:sz w:val="22"/>
                <w:szCs w:val="22"/>
              </w:rPr>
            </w:pPr>
            <w:r>
              <w:rPr>
                <w:rFonts w:cs="Arial" w:ascii="Arial" w:hAnsi="Arial"/>
                <w:sz w:val="22"/>
                <w:szCs w:val="22"/>
              </w:rPr>
            </w:r>
          </w:p>
          <w:p>
            <w:pPr>
              <w:pStyle w:val="Title"/>
              <w:jc w:val="left"/>
              <w:rPr/>
            </w:pPr>
            <w:r>
              <w:rPr>
                <w:rFonts w:cs="Arial"/>
                <w:sz w:val="22"/>
                <w:szCs w:val="22"/>
                <w:u w:val="none"/>
              </w:rPr>
              <w:t xml:space="preserve">Job Title: </w:t>
            </w:r>
            <w:r>
              <w:rPr>
                <w:rFonts w:cs="Arial"/>
                <w:b w:val="false"/>
                <w:sz w:val="22"/>
                <w:szCs w:val="22"/>
                <w:u w:val="none"/>
              </w:rPr>
              <w:t xml:space="preserve"> KS3 SEN General Subjects Teacher</w:t>
            </w:r>
          </w:p>
          <w:p>
            <w:pPr>
              <w:pStyle w:val="Title"/>
              <w:jc w:val="left"/>
              <w:rPr>
                <w:rFonts w:cs="Arial"/>
                <w:sz w:val="22"/>
                <w:szCs w:val="22"/>
                <w:u w:val="none"/>
              </w:rPr>
            </w:pPr>
            <w:r>
              <w:rPr>
                <w:rFonts w:cs="Arial"/>
                <w:sz w:val="22"/>
                <w:szCs w:val="22"/>
                <w:u w:val="none"/>
              </w:rPr>
              <w:tab/>
              <w:tab/>
              <w:tab/>
            </w:r>
          </w:p>
          <w:p>
            <w:pPr>
              <w:pStyle w:val="Normal"/>
              <w:rPr/>
            </w:pPr>
            <w:r>
              <w:rPr>
                <w:rFonts w:cs="Arial" w:ascii="Arial" w:hAnsi="Arial"/>
                <w:b/>
                <w:sz w:val="22"/>
                <w:szCs w:val="22"/>
              </w:rPr>
              <w:t xml:space="preserve">Directorate : </w:t>
            </w:r>
            <w:r>
              <w:rPr>
                <w:rFonts w:cs="Arial" w:ascii="Arial" w:hAnsi="Arial"/>
                <w:sz w:val="22"/>
                <w:szCs w:val="22"/>
              </w:rPr>
              <w:t>Children &amp; Young People</w:t>
            </w:r>
            <w:r>
              <w:rPr>
                <w:rFonts w:cs="Arial" w:ascii="Arial" w:hAnsi="Arial"/>
                <w:b/>
                <w:sz w:val="22"/>
                <w:szCs w:val="22"/>
              </w:rPr>
              <w:t xml:space="preserve">     </w:t>
            </w:r>
          </w:p>
          <w:p>
            <w:pPr>
              <w:pStyle w:val="Normal"/>
              <w:rPr>
                <w:rFonts w:ascii="Arial" w:hAnsi="Arial" w:eastAsia="Arial" w:cs="Arial"/>
                <w:b/>
                <w:b/>
                <w:position w:val="0"/>
                <w:sz w:val="22"/>
                <w:szCs w:val="22"/>
              </w:rPr>
            </w:pPr>
            <w:r>
              <w:rPr>
                <w:rFonts w:eastAsia="Arial" w:cs="Arial" w:ascii="Arial" w:hAnsi="Arial"/>
                <w:b/>
                <w:position w:val="0"/>
                <w:sz w:val="22"/>
                <w:szCs w:val="22"/>
              </w:rPr>
              <w:t xml:space="preserve">               </w:t>
            </w:r>
          </w:p>
        </w:tc>
        <w:tc>
          <w:tcPr>
            <w:tcW w:w="5538" w:type="dxa"/>
            <w:tcBorders>
              <w:top w:val="double" w:sz="4" w:space="0" w:color="4472C4"/>
              <w:left w:val="double" w:sz="4" w:space="0" w:color="4472C4"/>
              <w:bottom w:val="double" w:sz="4" w:space="0" w:color="4472C4"/>
              <w:right w:val="double" w:sz="4" w:space="0" w:color="4472C4"/>
            </w:tcBorders>
            <w:shd w:fill="auto" w:val="clear"/>
          </w:tcPr>
          <w:p>
            <w:pPr>
              <w:pStyle w:val="Normal"/>
              <w:tabs>
                <w:tab w:val="left" w:pos="720" w:leader="none"/>
                <w:tab w:val="left" w:pos="1440" w:leader="none"/>
                <w:tab w:val="left" w:pos="2160" w:leader="none"/>
                <w:tab w:val="left" w:pos="2880" w:leader="none"/>
                <w:tab w:val="left" w:pos="6570" w:leader="none"/>
              </w:tabs>
              <w:rPr>
                <w:rFonts w:ascii="Arial" w:hAnsi="Arial" w:eastAsia="Arial" w:cs="Arial"/>
                <w:b/>
                <w:b/>
                <w:sz w:val="22"/>
                <w:szCs w:val="22"/>
              </w:rPr>
            </w:pPr>
            <w:r>
              <w:rPr>
                <w:rFonts w:eastAsia="Arial" w:cs="Arial" w:ascii="Arial" w:hAnsi="Arial"/>
                <w:b/>
                <w:sz w:val="22"/>
                <w:szCs w:val="22"/>
              </w:rPr>
              <w:t xml:space="preserve"> </w:t>
            </w:r>
          </w:p>
          <w:p>
            <w:pPr>
              <w:pStyle w:val="Title"/>
              <w:jc w:val="left"/>
              <w:rPr/>
            </w:pPr>
            <w:r>
              <w:rPr>
                <w:rFonts w:cs="Arial"/>
                <w:sz w:val="22"/>
                <w:szCs w:val="22"/>
                <w:u w:val="none"/>
              </w:rPr>
              <w:t xml:space="preserve">Salary Grade:   </w:t>
            </w:r>
            <w:r>
              <w:rPr>
                <w:rFonts w:cs="Arial"/>
                <w:b w:val="false"/>
                <w:sz w:val="22"/>
                <w:szCs w:val="22"/>
                <w:u w:val="none"/>
              </w:rPr>
              <w:t>MPS + SEN</w:t>
            </w:r>
          </w:p>
          <w:p>
            <w:pPr>
              <w:pStyle w:val="Title"/>
              <w:jc w:val="left"/>
              <w:rPr>
                <w:rFonts w:cs="Arial"/>
                <w:sz w:val="22"/>
                <w:szCs w:val="22"/>
                <w:u w:val="none"/>
              </w:rPr>
            </w:pPr>
            <w:r>
              <w:rPr>
                <w:rFonts w:cs="Arial"/>
                <w:sz w:val="22"/>
                <w:szCs w:val="22"/>
                <w:u w:val="none"/>
              </w:rPr>
            </w:r>
          </w:p>
          <w:p>
            <w:pPr>
              <w:pStyle w:val="Title"/>
              <w:jc w:val="left"/>
              <w:rPr/>
            </w:pPr>
            <w:r>
              <w:rPr>
                <w:rFonts w:cs="Arial"/>
                <w:sz w:val="22"/>
                <w:szCs w:val="22"/>
                <w:u w:val="none"/>
              </w:rPr>
              <w:t xml:space="preserve">Hours:  </w:t>
            </w:r>
            <w:r>
              <w:rPr>
                <w:rFonts w:cs="Arial"/>
                <w:b w:val="false"/>
                <w:sz w:val="22"/>
                <w:szCs w:val="22"/>
                <w:u w:val="none"/>
              </w:rPr>
              <w:t>Full time</w:t>
            </w:r>
          </w:p>
        </w:tc>
      </w:tr>
      <w:tr>
        <w:trPr/>
        <w:tc>
          <w:tcPr>
            <w:tcW w:w="10924" w:type="dxa"/>
            <w:gridSpan w:val="2"/>
            <w:tcBorders>
              <w:top w:val="double" w:sz="4" w:space="0" w:color="4472C4"/>
              <w:left w:val="double" w:sz="4" w:space="0" w:color="4472C4"/>
              <w:bottom w:val="double" w:sz="4" w:space="0" w:color="4472C4"/>
              <w:right w:val="double" w:sz="4" w:space="0" w:color="4472C4"/>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pPr>
            <w:r>
              <w:rPr>
                <w:rFonts w:cs="Arial" w:ascii="Arial" w:hAnsi="Arial"/>
                <w:b/>
                <w:sz w:val="22"/>
                <w:szCs w:val="22"/>
              </w:rPr>
              <w:t xml:space="preserve">Post Reports to:  </w:t>
            </w:r>
            <w:r>
              <w:rPr>
                <w:rFonts w:cs="Arial" w:ascii="Arial" w:hAnsi="Arial"/>
                <w:sz w:val="22"/>
                <w:szCs w:val="22"/>
              </w:rPr>
              <w:t>Head teacher</w:t>
            </w:r>
          </w:p>
          <w:p>
            <w:pPr>
              <w:pStyle w:val="Normal"/>
              <w:rPr>
                <w:rFonts w:ascii="Arial" w:hAnsi="Arial" w:eastAsia="Arial" w:cs="Arial"/>
                <w:b/>
                <w:b/>
                <w:sz w:val="22"/>
                <w:szCs w:val="22"/>
              </w:rPr>
            </w:pPr>
            <w:r>
              <w:rPr>
                <w:rFonts w:eastAsia="Arial" w:cs="Arial" w:ascii="Arial" w:hAnsi="Arial"/>
                <w:b/>
                <w:sz w:val="22"/>
                <w:szCs w:val="22"/>
              </w:rPr>
              <w:t xml:space="preserve">       </w:t>
            </w:r>
          </w:p>
        </w:tc>
      </w:tr>
      <w:tr>
        <w:trPr>
          <w:trHeight w:val="1706" w:hRule="atLeast"/>
        </w:trPr>
        <w:tc>
          <w:tcPr>
            <w:tcW w:w="10924" w:type="dxa"/>
            <w:gridSpan w:val="2"/>
            <w:tcBorders>
              <w:top w:val="double" w:sz="4" w:space="0" w:color="4472C4"/>
              <w:left w:val="double" w:sz="4" w:space="0" w:color="4472C4"/>
              <w:bottom w:val="double" w:sz="4" w:space="0" w:color="4472C4"/>
              <w:right w:val="double" w:sz="4" w:space="0" w:color="4472C4"/>
            </w:tcBorders>
            <w:shd w:fill="auto" w:val="clear"/>
          </w:tcPr>
          <w:p>
            <w:pPr>
              <w:pStyle w:val="Header"/>
              <w:snapToGrid w:val="false"/>
              <w:rPr>
                <w:rFonts w:ascii="Arial" w:hAnsi="Arial" w:cs="Arial"/>
                <w:sz w:val="22"/>
                <w:szCs w:val="22"/>
              </w:rPr>
            </w:pPr>
            <w:r>
              <w:rPr>
                <w:rFonts w:cs="Arial" w:ascii="Arial" w:hAnsi="Arial"/>
                <w:sz w:val="22"/>
                <w:szCs w:val="22"/>
              </w:rPr>
            </w:r>
          </w:p>
          <w:p>
            <w:pPr>
              <w:pStyle w:val="Header"/>
              <w:tabs>
                <w:tab w:val="clear" w:pos="4153"/>
                <w:tab w:val="right" w:pos="8306" w:leader="none"/>
              </w:tabs>
              <w:rPr>
                <w:rFonts w:ascii="Arial" w:hAnsi="Arial" w:cs="Arial"/>
                <w:b/>
                <w:b/>
                <w:sz w:val="22"/>
                <w:szCs w:val="22"/>
              </w:rPr>
            </w:pPr>
            <w:r>
              <w:rPr>
                <w:rFonts w:cs="Arial" w:ascii="Arial" w:hAnsi="Arial"/>
                <w:b/>
                <w:sz w:val="22"/>
                <w:szCs w:val="22"/>
              </w:rPr>
              <w:t>Main Purpose of the Job:</w:t>
            </w:r>
          </w:p>
          <w:p>
            <w:pPr>
              <w:pStyle w:val="Header"/>
              <w:tabs>
                <w:tab w:val="clear" w:pos="4153"/>
                <w:tab w:val="right" w:pos="8306" w:leader="none"/>
              </w:tabs>
              <w:rPr>
                <w:rFonts w:ascii="Arial" w:hAnsi="Arial" w:cs="Arial"/>
                <w:b/>
                <w:b/>
                <w:sz w:val="22"/>
                <w:szCs w:val="22"/>
              </w:rPr>
            </w:pPr>
            <w:r>
              <w:rPr>
                <w:rFonts w:cs="Arial" w:ascii="Arial" w:hAnsi="Arial"/>
                <w:b/>
                <w:sz w:val="22"/>
                <w:szCs w:val="22"/>
              </w:rPr>
            </w:r>
          </w:p>
          <w:p>
            <w:pPr>
              <w:pStyle w:val="NormalWeb"/>
              <w:shd w:fill="FFFFFF" w:val="clear"/>
              <w:spacing w:before="0" w:after="300"/>
              <w:rPr/>
            </w:pPr>
            <w:r>
              <w:rPr>
                <w:rFonts w:cs="Arial" w:ascii="Arial" w:hAnsi="Arial"/>
                <w:color w:val="0B0C0C"/>
                <w:sz w:val="22"/>
                <w:szCs w:val="22"/>
              </w:rPr>
              <w:t xml:space="preserve">We are looking for a highly motivated General Subjects Teacher who is enthusiastic about making a difference and helping young people with SEND overcome their barriers to learning. You will </w:t>
            </w:r>
            <w:r>
              <w:rPr>
                <w:rFonts w:cs="Arial" w:ascii="Arial" w:hAnsi="Arial"/>
                <w:sz w:val="22"/>
                <w:szCs w:val="22"/>
              </w:rPr>
              <w:t xml:space="preserve">a talented, enthusiastic and conscientious class teacher supporting KS3 pupils, with their academic, social, emotional, and personal development, in a way that is accessible and inclusive. </w:t>
            </w:r>
            <w:r>
              <w:rPr>
                <w:rFonts w:cs="Arial" w:ascii="Arial" w:hAnsi="Arial"/>
                <w:spacing w:val="2"/>
                <w:sz w:val="22"/>
                <w:szCs w:val="22"/>
                <w:shd w:fill="FFFFFF" w:val="clear"/>
              </w:rPr>
              <w:t>You will develop and deliver engaging, differentiated lessons across various subjects (e.g., English, Maths, Science, Humanities) for students with SEND.</w:t>
            </w:r>
          </w:p>
        </w:tc>
      </w:tr>
      <w:tr>
        <w:trPr>
          <w:trHeight w:val="4100" w:hRule="atLeast"/>
        </w:trPr>
        <w:tc>
          <w:tcPr>
            <w:tcW w:w="10924" w:type="dxa"/>
            <w:gridSpan w:val="2"/>
            <w:tcBorders>
              <w:top w:val="double" w:sz="4" w:space="0" w:color="4472C4"/>
              <w:left w:val="double" w:sz="4" w:space="0" w:color="4472C4"/>
              <w:bottom w:val="double" w:sz="4" w:space="0" w:color="4472C4"/>
              <w:right w:val="double" w:sz="4" w:space="0" w:color="4472C4"/>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Major Duties and Responsibilities:</w:t>
            </w:r>
          </w:p>
          <w:p>
            <w:pPr>
              <w:pStyle w:val="Normal"/>
              <w:rPr>
                <w:rFonts w:ascii="Arial" w:hAnsi="Arial" w:cs="Arial"/>
                <w:b/>
                <w:b/>
                <w:sz w:val="22"/>
                <w:szCs w:val="22"/>
              </w:rPr>
            </w:pPr>
            <w:r>
              <w:rPr>
                <w:rFonts w:cs="Arial" w:ascii="Arial" w:hAnsi="Arial"/>
                <w:b/>
                <w:sz w:val="22"/>
                <w:szCs w:val="22"/>
              </w:rPr>
            </w:r>
          </w:p>
          <w:p>
            <w:pPr>
              <w:pStyle w:val="Normal"/>
              <w:ind w:left="3960" w:right="0" w:hanging="3960"/>
              <w:rPr/>
            </w:pPr>
            <w:r>
              <w:rPr>
                <w:rFonts w:eastAsia="Arial" w:cs="Arial" w:ascii="Arial" w:hAnsi="Arial"/>
                <w:b/>
                <w:sz w:val="22"/>
                <w:szCs w:val="22"/>
              </w:rPr>
              <w:t xml:space="preserve">      </w:t>
            </w:r>
            <w:r>
              <w:rPr>
                <w:rFonts w:cs="Arial" w:ascii="Arial" w:hAnsi="Arial"/>
                <w:b/>
              </w:rPr>
              <w:t>Teaching and Learning</w:t>
            </w:r>
            <w:r>
              <w:rPr>
                <w:rFonts w:cs="Arial" w:ascii="Arial" w:hAnsi="Arial"/>
                <w:b/>
                <w:sz w:val="22"/>
                <w:szCs w:val="22"/>
              </w:rPr>
              <w:t xml:space="preserve"> | </w:t>
            </w:r>
            <w:r>
              <w:rPr>
                <w:rStyle w:val="Strong"/>
                <w:rFonts w:cs="Arial" w:ascii="Arial" w:hAnsi="Arial"/>
                <w:shd w:fill="FFFFFF" w:val="clear"/>
              </w:rPr>
              <w:t>Planning and Delivering Differentiated Lessons:</w:t>
            </w:r>
          </w:p>
          <w:p>
            <w:pPr>
              <w:pStyle w:val="Normal"/>
              <w:numPr>
                <w:ilvl w:val="0"/>
                <w:numId w:val="2"/>
              </w:numPr>
              <w:rPr>
                <w:rFonts w:ascii="Arial" w:hAnsi="Arial" w:cs="Arial"/>
                <w:sz w:val="22"/>
                <w:szCs w:val="22"/>
              </w:rPr>
            </w:pPr>
            <w:r>
              <w:rPr>
                <w:rFonts w:cs="Arial" w:ascii="Arial" w:hAnsi="Arial"/>
                <w:sz w:val="22"/>
                <w:szCs w:val="22"/>
              </w:rPr>
              <w:t xml:space="preserve">Work in consultation with subject leads, to plan and design teaching materials and resources which are appropriate to age and ability, in accordance with the schools aims and ethos.  </w:t>
            </w:r>
          </w:p>
          <w:p>
            <w:pPr>
              <w:pStyle w:val="Normal"/>
              <w:numPr>
                <w:ilvl w:val="0"/>
                <w:numId w:val="2"/>
              </w:numPr>
              <w:rPr>
                <w:rFonts w:ascii="Arial" w:hAnsi="Arial" w:cs="Arial"/>
                <w:sz w:val="22"/>
                <w:szCs w:val="22"/>
              </w:rPr>
            </w:pPr>
            <w:r>
              <w:rPr>
                <w:rFonts w:cs="Arial" w:ascii="Arial" w:hAnsi="Arial"/>
                <w:sz w:val="22"/>
                <w:szCs w:val="22"/>
              </w:rPr>
              <w:t xml:space="preserve">Deliver lessons which are appropriate to the ability of the pupils in order to meet specific needs and facilitate progression in pupils learning. </w:t>
            </w:r>
          </w:p>
          <w:p>
            <w:pPr>
              <w:pStyle w:val="Normal"/>
              <w:numPr>
                <w:ilvl w:val="0"/>
                <w:numId w:val="2"/>
              </w:numPr>
              <w:rPr>
                <w:rFonts w:ascii="Arial" w:hAnsi="Arial" w:cs="Arial"/>
                <w:sz w:val="22"/>
                <w:szCs w:val="22"/>
              </w:rPr>
            </w:pPr>
            <w:r>
              <w:rPr>
                <w:rFonts w:cs="Arial" w:ascii="Arial" w:hAnsi="Arial"/>
                <w:sz w:val="22"/>
                <w:szCs w:val="22"/>
              </w:rPr>
              <w:t>Manage the classroom and teaching equipment to create a positive learning environment which makes effective use of available resources.</w:t>
            </w:r>
          </w:p>
          <w:p>
            <w:pPr>
              <w:pStyle w:val="Normal"/>
              <w:numPr>
                <w:ilvl w:val="0"/>
                <w:numId w:val="2"/>
              </w:numPr>
              <w:rPr>
                <w:rFonts w:ascii="Arial" w:hAnsi="Arial" w:cs="Arial"/>
                <w:sz w:val="22"/>
                <w:szCs w:val="22"/>
              </w:rPr>
            </w:pPr>
            <w:r>
              <w:rPr>
                <w:rFonts w:cs="Arial" w:ascii="Arial" w:hAnsi="Arial"/>
                <w:sz w:val="22"/>
                <w:szCs w:val="22"/>
              </w:rPr>
              <w:t>Be proactive and keep up-to-date with current research regarding pedagogy of learning for students with SEND.</w:t>
            </w:r>
          </w:p>
          <w:p>
            <w:pPr>
              <w:pStyle w:val="Normal"/>
              <w:numPr>
                <w:ilvl w:val="0"/>
                <w:numId w:val="2"/>
              </w:numPr>
              <w:rPr>
                <w:rFonts w:ascii="Arial" w:hAnsi="Arial" w:cs="Arial"/>
                <w:sz w:val="22"/>
                <w:szCs w:val="22"/>
              </w:rPr>
            </w:pPr>
            <w:r>
              <w:rPr>
                <w:rFonts w:cs="Arial" w:ascii="Arial" w:hAnsi="Arial"/>
                <w:sz w:val="22"/>
                <w:szCs w:val="22"/>
              </w:rPr>
              <w:t>Implement effective behaviour management strategies to create a positive and inclusive learning environment.</w:t>
            </w:r>
          </w:p>
          <w:p>
            <w:pPr>
              <w:pStyle w:val="Normal"/>
              <w:ind w:left="720" w:right="0" w:hanging="0"/>
              <w:rPr>
                <w:rFonts w:ascii="Arial" w:hAnsi="Arial" w:cs="Arial"/>
                <w:sz w:val="22"/>
                <w:szCs w:val="22"/>
              </w:rPr>
            </w:pPr>
            <w:r>
              <w:rPr>
                <w:rFonts w:cs="Arial" w:ascii="Arial" w:hAnsi="Arial"/>
                <w:sz w:val="22"/>
                <w:szCs w:val="22"/>
              </w:rPr>
            </w:r>
          </w:p>
          <w:p>
            <w:pPr>
              <w:pStyle w:val="Normal"/>
              <w:ind w:left="318" w:right="0" w:hanging="0"/>
              <w:rPr/>
            </w:pPr>
            <w:r>
              <w:rPr>
                <w:rStyle w:val="Strong"/>
                <w:rFonts w:cs="Arial" w:ascii="Arial" w:hAnsi="Arial"/>
                <w:shd w:fill="FFFFFF" w:val="clear"/>
              </w:rPr>
              <w:t>Assessment and Evaluation:</w:t>
            </w:r>
          </w:p>
          <w:p>
            <w:pPr>
              <w:pStyle w:val="Normal"/>
              <w:numPr>
                <w:ilvl w:val="0"/>
                <w:numId w:val="2"/>
              </w:numPr>
              <w:rPr>
                <w:rFonts w:ascii="Arial" w:hAnsi="Arial" w:cs="Arial"/>
                <w:sz w:val="22"/>
                <w:szCs w:val="22"/>
              </w:rPr>
            </w:pPr>
            <w:r>
              <w:rPr>
                <w:rFonts w:cs="Arial" w:ascii="Arial" w:hAnsi="Arial"/>
                <w:sz w:val="22"/>
                <w:szCs w:val="22"/>
              </w:rPr>
              <w:t>Assess, record and report on the development, progress and attainment of the pupils assigned to them within the school’s guidelines.</w:t>
            </w:r>
          </w:p>
          <w:p>
            <w:pPr>
              <w:pStyle w:val="Normal"/>
              <w:numPr>
                <w:ilvl w:val="0"/>
                <w:numId w:val="2"/>
              </w:numPr>
              <w:rPr>
                <w:rFonts w:ascii="Arial" w:hAnsi="Arial" w:cs="Arial"/>
                <w:sz w:val="22"/>
                <w:szCs w:val="22"/>
              </w:rPr>
            </w:pPr>
            <w:r>
              <w:rPr>
                <w:rFonts w:cs="Arial" w:ascii="Arial" w:hAnsi="Arial"/>
                <w:sz w:val="22"/>
                <w:szCs w:val="22"/>
              </w:rPr>
              <w:t xml:space="preserve">Use relevant data to monitor progress, set targets, intervention plans and plan subsequent learning. </w:t>
            </w:r>
          </w:p>
          <w:p>
            <w:pPr>
              <w:pStyle w:val="Normal"/>
              <w:rPr>
                <w:rFonts w:ascii="Arial" w:hAnsi="Arial" w:cs="Arial"/>
                <w:sz w:val="22"/>
                <w:szCs w:val="22"/>
              </w:rPr>
            </w:pPr>
            <w:r>
              <w:rPr>
                <w:rFonts w:cs="Arial" w:ascii="Arial" w:hAnsi="Arial"/>
                <w:sz w:val="22"/>
                <w:szCs w:val="22"/>
              </w:rPr>
            </w:r>
          </w:p>
          <w:p>
            <w:pPr>
              <w:pStyle w:val="Normal"/>
              <w:ind w:left="318" w:right="0" w:hanging="0"/>
              <w:rPr>
                <w:rFonts w:ascii="Arial" w:hAnsi="Arial" w:cs="Arial"/>
                <w:b/>
                <w:b/>
              </w:rPr>
            </w:pPr>
            <w:r>
              <w:rPr>
                <w:rFonts w:cs="Arial" w:ascii="Arial" w:hAnsi="Arial"/>
                <w:b/>
              </w:rPr>
              <w:t>Collaboration with support and whole school staff</w:t>
            </w:r>
          </w:p>
          <w:p>
            <w:pPr>
              <w:pStyle w:val="Normal"/>
              <w:numPr>
                <w:ilvl w:val="0"/>
                <w:numId w:val="2"/>
              </w:numPr>
              <w:rPr/>
            </w:pPr>
            <w:r>
              <w:rPr>
                <w:rFonts w:cs="Arial" w:ascii="Arial" w:hAnsi="Arial"/>
                <w:spacing w:val="2"/>
                <w:sz w:val="22"/>
                <w:szCs w:val="22"/>
                <w:shd w:fill="FFFFFF" w:val="clear"/>
              </w:rPr>
              <w:t>Work in partnership with teaching assistants and other SEN professionals, such as speech and language therapists, occupational therapists, and educational psychologists, to support pupils’ learning and well-being.</w:t>
            </w:r>
            <w:r>
              <w:rPr>
                <w:rStyle w:val="Uv3um"/>
                <w:rFonts w:cs="Arial" w:ascii="Arial" w:hAnsi="Arial"/>
                <w:spacing w:val="2"/>
                <w:sz w:val="22"/>
                <w:szCs w:val="22"/>
                <w:shd w:fill="FFFFFF" w:val="clear"/>
              </w:rPr>
              <w:t> </w:t>
            </w:r>
          </w:p>
          <w:p>
            <w:pPr>
              <w:pStyle w:val="Normal"/>
              <w:numPr>
                <w:ilvl w:val="0"/>
                <w:numId w:val="2"/>
              </w:numPr>
              <w:rPr/>
            </w:pPr>
            <w:r>
              <w:rPr>
                <w:rStyle w:val="Uv3um"/>
                <w:rFonts w:cs="Arial" w:ascii="Arial" w:hAnsi="Arial"/>
                <w:sz w:val="22"/>
                <w:szCs w:val="22"/>
              </w:rPr>
              <w:t>Participate in full staff and departmental meetings and contribute to the schools overall SEN provision.</w:t>
            </w:r>
          </w:p>
          <w:p>
            <w:pPr>
              <w:pStyle w:val="Normal"/>
              <w:rPr>
                <w:rFonts w:ascii="Arial" w:hAnsi="Arial" w:cs="Arial"/>
                <w:sz w:val="22"/>
                <w:szCs w:val="22"/>
              </w:rPr>
            </w:pPr>
            <w:r>
              <w:rPr>
                <w:rFonts w:cs="Arial" w:ascii="Arial" w:hAnsi="Arial"/>
                <w:sz w:val="22"/>
                <w:szCs w:val="22"/>
              </w:rPr>
            </w:r>
          </w:p>
          <w:p>
            <w:pPr>
              <w:pStyle w:val="Normal"/>
              <w:rPr/>
            </w:pPr>
            <w:r>
              <w:rPr>
                <w:rStyle w:val="Strong"/>
                <w:rFonts w:eastAsia="Arial" w:cs="Arial" w:ascii="Arial" w:hAnsi="Arial"/>
                <w:color w:val="001D35"/>
                <w:shd w:fill="FFFFFF" w:val="clear"/>
              </w:rPr>
              <w:t xml:space="preserve">      </w:t>
            </w:r>
            <w:r>
              <w:rPr>
                <w:rStyle w:val="Strong"/>
                <w:rFonts w:cs="Arial" w:ascii="Arial" w:hAnsi="Arial"/>
                <w:shd w:fill="FFFFFF" w:val="clear"/>
              </w:rPr>
              <w:t>Communication with Parents and Carers:</w:t>
            </w:r>
          </w:p>
          <w:p>
            <w:pPr>
              <w:pStyle w:val="Normal"/>
              <w:numPr>
                <w:ilvl w:val="0"/>
                <w:numId w:val="3"/>
              </w:numPr>
              <w:rPr>
                <w:rFonts w:ascii="Arial" w:hAnsi="Arial" w:cs="Arial"/>
                <w:spacing w:val="2"/>
                <w:sz w:val="22"/>
                <w:szCs w:val="22"/>
                <w:highlight w:val="white"/>
              </w:rPr>
            </w:pPr>
            <w:r>
              <w:rPr>
                <w:rFonts w:cs="Arial" w:ascii="Arial" w:hAnsi="Arial"/>
                <w:spacing w:val="2"/>
                <w:sz w:val="22"/>
                <w:szCs w:val="22"/>
                <w:shd w:fill="FFFFFF" w:val="clear"/>
              </w:rPr>
              <w:t>Maintain open communication with parents/carers, provide updates on pupil progress, and address concerns.</w:t>
            </w:r>
          </w:p>
          <w:p>
            <w:pPr>
              <w:pStyle w:val="Normal"/>
              <w:numPr>
                <w:ilvl w:val="0"/>
                <w:numId w:val="3"/>
              </w:numPr>
              <w:rPr>
                <w:rFonts w:ascii="Arial" w:hAnsi="Arial" w:cs="Arial"/>
                <w:sz w:val="22"/>
                <w:szCs w:val="22"/>
              </w:rPr>
            </w:pPr>
            <w:r>
              <w:rPr>
                <w:rFonts w:cs="Arial" w:ascii="Arial" w:hAnsi="Arial"/>
                <w:sz w:val="22"/>
                <w:szCs w:val="22"/>
              </w:rPr>
              <w:t>Attend and contribute to pupils’ review meetings and multidisciplinary team meetings.</w:t>
            </w:r>
          </w:p>
          <w:p>
            <w:pPr>
              <w:pStyle w:val="Normal"/>
              <w:numPr>
                <w:ilvl w:val="0"/>
                <w:numId w:val="3"/>
              </w:numPr>
              <w:rPr>
                <w:rFonts w:ascii="Arial" w:hAnsi="Arial" w:cs="Arial"/>
                <w:sz w:val="22"/>
                <w:szCs w:val="22"/>
              </w:rPr>
            </w:pPr>
            <w:r>
              <w:rPr>
                <w:rFonts w:cs="Arial" w:ascii="Arial" w:hAnsi="Arial"/>
                <w:sz w:val="22"/>
                <w:szCs w:val="22"/>
              </w:rPr>
              <w:t>Attend Parents evenings and other parent information events outside of the school day when required.</w:t>
            </w:r>
          </w:p>
          <w:p>
            <w:pPr>
              <w:pStyle w:val="Normal"/>
              <w:ind w:left="720" w:right="0" w:hanging="0"/>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Equal Opportunities and Anti-Discriminatory Practice: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Castle Hill High School makes sure that everyone is treated fairly, regardless of race, disability, ethnic origin, marital status, age, religion, sexuality, parental or property status. We monitor the way we do things to make sure employees, potential employees, service users and visitors are treated fairly and without prejudice. It is expected that all staff will create a working environment which is free from discrimination and harassment and respects, where appropriate, the diverse backgrounds and beliefs of employees and service users.</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Safeguarding:</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All children and young people have the right to be safeguarded and protected from abuse. Castle Hill High School implements rigorous and DBS compliant procedures when dealing with any concern, complaint or allegation in this area. It is required that all staff understand this policy and take an active role in helping young people to stay safe.</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Health and Safety:</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Castle Hill’s Health and Safety Policy will be rigorously applied and, for example, the supplementary General Safety Guidelines, Fire and Evacuation Policy, Behaviour Policy and other related policies and guidance will be used to assess staff performance in these areas.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Note 1</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You are required to carry out the duties of a school teacher as set out in the school Teachers Pay and Conditions Document.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Your professional conduct is governed by the Teacher Standards – Annex 1 of the School Teachers Pay and Conditions Document. Your ongoing appraisal of performance will assess you against these standards.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Note 2</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Job description only reflects 80% of a role and are not an exhaustive list of duties.  You are expected to carry out other activities that are within the scope of the role.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Signed:  ….…………………… (Teacher)</w:t>
              <w:tab/>
              <w:t>Signed:  ……………………….. (Headteacher)</w:t>
            </w:r>
          </w:p>
          <w:p>
            <w:pPr>
              <w:pStyle w:val="Normal"/>
              <w:ind w:left="34" w:right="0" w:hanging="0"/>
              <w:rPr>
                <w:rFonts w:ascii="Arial" w:hAnsi="Arial" w:cs="Arial"/>
                <w:b/>
                <w:b/>
                <w:sz w:val="22"/>
                <w:szCs w:val="22"/>
              </w:rPr>
            </w:pPr>
            <w:r>
              <w:rPr>
                <w:rFonts w:cs="Arial" w:ascii="Arial" w:hAnsi="Arial"/>
                <w:b/>
                <w:sz w:val="22"/>
                <w:szCs w:val="22"/>
              </w:rPr>
            </w:r>
          </w:p>
        </w:tc>
      </w:tr>
    </w:tbl>
    <w:p>
      <w:pPr>
        <w:pStyle w:val="Normal"/>
        <w:rPr/>
      </w:pPr>
      <w:r>
        <w:rPr/>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3">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spacing w:val="2"/>
        <w:shd w:fill="FFFFFF" w:val="clear"/>
        <w:szCs w:val="22"/>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sz w:val="22"/>
        <w:spacing w:val="2"/>
        <w:shd w:fill="FFFFFF" w:val="clear"/>
        <w:szCs w:val="22"/>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sz w:val="22"/>
        <w:spacing w:val="2"/>
        <w:shd w:fill="FFFFFF" w:val="clear"/>
        <w:szCs w:val="22"/>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1z0">
    <w:name w:val="WW8Num1z0"/>
    <w:qFormat/>
    <w:rPr>
      <w:rFonts w:ascii="Symbol" w:hAnsi="Symbol" w:cs="Symbol"/>
      <w:spacing w:val="2"/>
      <w:sz w:val="22"/>
      <w:szCs w:val="22"/>
      <w:shd w:fill="FFFFFF" w:val="clear"/>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erChar">
    <w:name w:val="Header Char"/>
    <w:qFormat/>
    <w:rPr>
      <w:lang w:eastAsia="en-US"/>
    </w:rPr>
  </w:style>
  <w:style w:type="character" w:styleId="Strong">
    <w:name w:val="Strong"/>
    <w:qFormat/>
    <w:rPr>
      <w:b/>
      <w:bCs/>
    </w:rPr>
  </w:style>
  <w:style w:type="character" w:styleId="Uv3um">
    <w:name w:val="uv3um"/>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BodyText3">
    <w:name w:val="Body Text 3"/>
    <w:basedOn w:val="Normal"/>
    <w:qFormat/>
    <w:pPr>
      <w:widowControl w:val="false"/>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rFonts w:ascii="Arial" w:hAnsi="Arial" w:cs="Arial"/>
      <w:bCs/>
      <w:sz w:val="22"/>
    </w:rPr>
  </w:style>
  <w:style w:type="paragraph" w:styleId="NormalWeb">
    <w:name w:val="Normal (Web)"/>
    <w:basedOn w:val="Normal"/>
    <w:qFormat/>
    <w:pPr>
      <w:spacing w:before="100" w:after="100"/>
    </w:pPr>
    <w:rPr>
      <w:sz w:val="24"/>
      <w:szCs w:val="24"/>
      <w:lang w:eastAsia="en-GB" w:bidi="he-IL"/>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Arial"/>
      <w:sz w:val="22"/>
      <w:szCs w:val="22"/>
      <w:lang w:bidi="he-IL"/>
    </w:rPr>
  </w:style>
  <w:style w:type="paragraph" w:styleId="Default">
    <w:name w:val="Default"/>
    <w:qFormat/>
    <w:pPr>
      <w:widowControl/>
      <w:suppressAutoHyphens w:val="true"/>
      <w:bidi w:val="0"/>
      <w:spacing w:before="0" w:after="0"/>
      <w:jc w:val="left"/>
    </w:pPr>
    <w:rPr>
      <w:rFonts w:ascii="Tahoma" w:hAnsi="Tahoma" w:eastAsia="Times New Roman" w:cs="Tahoma"/>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2026-06-11T12:35:00Z</dcterms:created>
  <dc:creator>Dorothy.Davies</dc:creator>
  <dc:description/>
  <dc:language>en-US</dc:language>
  <cp:lastModifiedBy>Claire McKenzie</cp:lastModifiedBy>
  <cp:lastPrinted>1995-11-21T17:41:00Z</cp:lastPrinted>
  <dcterms:modified xsi:type="dcterms:W3CDTF">2026-06-11T12:35:00Z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