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val="clear"/>
        <w:spacing w:lineRule="atLeast" w:line="360"/>
        <w:jc w:val="center"/>
        <w:rPr>
          <w:rFonts w:eastAsia="Times New Roman" w:cs="Arial"/>
          <w:b/>
          <w:b/>
          <w:color w:val="000000"/>
          <w:u w:val="single"/>
          <w:lang w:eastAsia="en-GB"/>
        </w:rPr>
      </w:pPr>
      <w:r>
        <w:rPr/>
        <w:drawing>
          <wp:inline distT="0" distB="0" distL="0" distR="0">
            <wp:extent cx="1112520" cy="107378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4" r="-32" b="-34"/>
                    <a:stretch>
                      <a:fillRect/>
                    </a:stretch>
                  </pic:blipFill>
                  <pic:spPr bwMode="auto">
                    <a:xfrm>
                      <a:off x="0" y="0"/>
                      <a:ext cx="1112520" cy="1073785"/>
                    </a:xfrm>
                    <a:prstGeom prst="rect">
                      <a:avLst/>
                    </a:prstGeom>
                  </pic:spPr>
                </pic:pic>
              </a:graphicData>
            </a:graphic>
          </wp:inline>
        </w:drawing>
      </w:r>
    </w:p>
    <w:p>
      <w:pPr>
        <w:pStyle w:val="Normal"/>
        <w:shd w:fill="FFFFFF" w:val="clear"/>
        <w:spacing w:lineRule="atLeast" w:line="360"/>
        <w:jc w:val="center"/>
        <w:rPr>
          <w:rFonts w:eastAsia="Times New Roman" w:cs="Arial"/>
          <w:b/>
          <w:b/>
          <w:color w:val="000000"/>
          <w:u w:val="single"/>
          <w:lang w:eastAsia="en-GB"/>
        </w:rPr>
      </w:pPr>
      <w:r>
        <w:rPr>
          <w:rFonts w:eastAsia="Times New Roman" w:cs="Arial"/>
          <w:b/>
          <w:color w:val="000000"/>
          <w:u w:val="single"/>
          <w:lang w:eastAsia="en-GB"/>
        </w:rPr>
        <w:t xml:space="preserve">EQUALITY ACT 2010 </w:t>
      </w:r>
    </w:p>
    <w:p>
      <w:pPr>
        <w:pStyle w:val="Normal"/>
        <w:shd w:fill="FFFFFF" w:val="clear"/>
        <w:spacing w:lineRule="atLeast" w:line="360"/>
        <w:jc w:val="center"/>
        <w:rPr>
          <w:rFonts w:eastAsia="Times New Roman" w:cs="Arial"/>
          <w:b/>
          <w:b/>
          <w:color w:val="000000"/>
          <w:u w:val="single"/>
          <w:lang w:eastAsia="en-GB"/>
        </w:rPr>
      </w:pPr>
      <w:r>
        <w:rPr>
          <w:rFonts w:eastAsia="Times New Roman" w:cs="Arial"/>
          <w:b/>
          <w:color w:val="000000"/>
          <w:u w:val="single"/>
          <w:lang w:eastAsia="en-GB"/>
        </w:rPr>
        <w:t>MODEL REASONABLE ADJUSTMENTS STATEMENT</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  Our duty to make reasonable adjustments only applies where we know about, or ought reasonably to know about, your disability so it is important that you provide this information to us (details for the relevant person to contact will be provided in your Invitation to Interview Letter).  </w:t>
      </w:r>
    </w:p>
    <w:p>
      <w:pPr>
        <w:pStyle w:val="Normal"/>
        <w:shd w:fill="FFFFFF" w:val="clear"/>
        <w:spacing w:lineRule="auto" w:line="240"/>
        <w:jc w:val="both"/>
        <w:rPr>
          <w:rFonts w:eastAsia="Times New Roman" w:cs="Arial"/>
          <w:color w:val="000000"/>
          <w:lang w:eastAsia="en-GB"/>
        </w:rPr>
      </w:pPr>
      <w:r>
        <w:rPr>
          <w:rFonts w:eastAsia="Times New Roman" w:cs="Arial"/>
          <w:color w:val="000000"/>
          <w:lang w:eastAsia="en-GB"/>
        </w:rPr>
        <w:t>Below is a non-exhaustive list of some of the types of adjustments that we may make to ensure that the recruitment process is fair to all applicants, if it is reasonable to do so in all the circumstances:</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Modification to Documentation – this may include providing documents in large print, in Braille format or in audio format and/or providing oral instruction on documentation for those applicants with a learning disability;</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a Reader for a visually impaired applicant;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Provision of Auxiliary Aids – for example, a person to guide a visually impaired applicant around the interview venue;       </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special equipment – for example, adapted keyboards for applicants whose disability may affect their manual dexterity and/or large screen computers for applicants with visual impairments;</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a Sign Language Interpreter for an applicant with a hearing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Where interviews are being conducted by telephone, provision for interview by textphone for an applicant with a hearing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Provision of vehicle parking as proximate to the interview venue as reasonably practicable for an applicant with a mobility impairment;</w:t>
      </w:r>
    </w:p>
    <w:p>
      <w:pPr>
        <w:pStyle w:val="ListParagraph"/>
        <w:numPr>
          <w:ilvl w:val="0"/>
          <w:numId w:val="1"/>
        </w:numPr>
        <w:shd w:fill="FFFFFF" w:val="clear"/>
        <w:spacing w:lineRule="auto" w:line="240"/>
        <w:jc w:val="both"/>
        <w:rPr>
          <w:rFonts w:eastAsia="Times New Roman" w:cs="Arial"/>
          <w:color w:val="000000"/>
          <w:lang w:eastAsia="en-GB"/>
        </w:rPr>
      </w:pPr>
      <w:r>
        <w:rPr>
          <w:rFonts w:eastAsia="Times New Roman" w:cs="Arial"/>
          <w:color w:val="000000"/>
          <w:lang w:eastAsia="en-GB"/>
        </w:rPr>
        <w:t xml:space="preserve">Modification of interview premises – for example, in order to ensure that an applicant who uses a wheelchair can gain access to the building where the interview is being held, the school / academy / college may consider using ramps, holding interviews on the ground floor (if there is no adequate lift), considering the placement of furniture and rearranging if necessary etc. </w:t>
      </w:r>
    </w:p>
    <w:p>
      <w:pPr>
        <w:pStyle w:val="ListParagraph"/>
        <w:shd w:fill="FFFFFF" w:val="clear"/>
        <w:spacing w:lineRule="auto" w:line="240"/>
        <w:ind w:left="1020" w:right="0" w:hanging="0"/>
        <w:jc w:val="both"/>
        <w:rPr>
          <w:rFonts w:eastAsia="Times New Roman" w:cs="Arial"/>
        </w:rPr>
      </w:pPr>
      <w:r>
        <w:rPr>
          <w:rFonts w:eastAsia="Calibri" w:cs="Calibri"/>
          <w:color w:val="000000"/>
          <w:lang w:eastAsia="en-GB"/>
        </w:rPr>
        <w:t xml:space="preserve"> </w:t>
      </w:r>
    </w:p>
    <w:p>
      <w:pPr>
        <w:pStyle w:val="Normal"/>
        <w:spacing w:lineRule="auto" w:line="240" w:before="0" w:after="200"/>
        <w:jc w:val="both"/>
        <w:rPr/>
      </w:pPr>
      <w:r>
        <w:rPr/>
      </w:r>
    </w:p>
    <w:sectPr>
      <w:headerReference w:type="default" r:id="rId3"/>
      <w:footerReference w:type="default" r:id="rId4"/>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Equality Act 2010 Model Reasonable Adjustments Statement – Recruitment – Version 2 – March 2013 – updated April 2019</w:t>
    </w:r>
  </w:p>
  <w:p>
    <w:pPr>
      <w:pStyle w:val="Footer"/>
      <w:rPr>
        <w:sz w:val="18"/>
        <w:szCs w:val="18"/>
      </w:rPr>
    </w:pPr>
    <w:r>
      <w:rPr>
        <w:sz w:val="18"/>
        <w:szCs w:val="18"/>
      </w:rPr>
      <w:t xml:space="preserve">THE CATHOLIC EDUCATION SERVICE ©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1</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20" w:hanging="360"/>
      </w:pPr>
      <w:rPr>
        <w:rFonts w:ascii="Symbol" w:hAnsi="Symbol" w:cs="Symbol" w:hint="default"/>
        <w:rFonts w:cs="Symbol"/>
      </w:rPr>
    </w:lvl>
    <w:lvl w:ilvl="1">
      <w:start w:val="1"/>
      <w:numFmt w:val="bullet"/>
      <w:lvlText w:val="o"/>
      <w:lvlJc w:val="left"/>
      <w:pPr>
        <w:ind w:left="1740" w:hanging="360"/>
      </w:pPr>
      <w:rPr>
        <w:rFonts w:ascii="Courier New" w:hAnsi="Courier New" w:cs="Courier New" w:hint="default"/>
        <w:rFonts w:cs="Courier New"/>
      </w:rPr>
    </w:lvl>
    <w:lvl w:ilvl="2">
      <w:start w:val="1"/>
      <w:numFmt w:val="bullet"/>
      <w:lvlText w:val=""/>
      <w:lvlJc w:val="left"/>
      <w:pPr>
        <w:ind w:left="2460" w:hanging="360"/>
      </w:pPr>
      <w:rPr>
        <w:rFonts w:ascii="Wingdings" w:hAnsi="Wingdings" w:cs="Wingdings" w:hint="default"/>
        <w:rFonts w:cs="Wingdings"/>
      </w:rPr>
    </w:lvl>
    <w:lvl w:ilvl="3">
      <w:start w:val="1"/>
      <w:numFmt w:val="bullet"/>
      <w:lvlText w:val=""/>
      <w:lvlJc w:val="left"/>
      <w:pPr>
        <w:ind w:left="3180" w:hanging="360"/>
      </w:pPr>
      <w:rPr>
        <w:rFonts w:ascii="Symbol" w:hAnsi="Symbol" w:cs="Symbol" w:hint="default"/>
        <w:rFonts w:cs="Symbol"/>
      </w:rPr>
    </w:lvl>
    <w:lvl w:ilvl="4">
      <w:start w:val="1"/>
      <w:numFmt w:val="bullet"/>
      <w:lvlText w:val="o"/>
      <w:lvlJc w:val="left"/>
      <w:pPr>
        <w:ind w:left="3900" w:hanging="360"/>
      </w:pPr>
      <w:rPr>
        <w:rFonts w:ascii="Courier New" w:hAnsi="Courier New" w:cs="Courier New" w:hint="default"/>
        <w:rFonts w:cs="Courier New"/>
      </w:rPr>
    </w:lvl>
    <w:lvl w:ilvl="5">
      <w:start w:val="1"/>
      <w:numFmt w:val="bullet"/>
      <w:lvlText w:val=""/>
      <w:lvlJc w:val="left"/>
      <w:pPr>
        <w:ind w:left="4620" w:hanging="360"/>
      </w:pPr>
      <w:rPr>
        <w:rFonts w:ascii="Wingdings" w:hAnsi="Wingdings" w:cs="Wingdings" w:hint="default"/>
        <w:rFonts w:cs="Wingdings"/>
      </w:rPr>
    </w:lvl>
    <w:lvl w:ilvl="6">
      <w:start w:val="1"/>
      <w:numFmt w:val="bullet"/>
      <w:lvlText w:val=""/>
      <w:lvlJc w:val="left"/>
      <w:pPr>
        <w:ind w:left="5340" w:hanging="360"/>
      </w:pPr>
      <w:rPr>
        <w:rFonts w:ascii="Symbol" w:hAnsi="Symbol" w:cs="Symbol" w:hint="default"/>
        <w:rFonts w:cs="Symbol"/>
      </w:rPr>
    </w:lvl>
    <w:lvl w:ilvl="7">
      <w:start w:val="1"/>
      <w:numFmt w:val="bullet"/>
      <w:lvlText w:val="o"/>
      <w:lvlJc w:val="left"/>
      <w:pPr>
        <w:ind w:left="6060" w:hanging="360"/>
      </w:pPr>
      <w:rPr>
        <w:rFonts w:ascii="Courier New" w:hAnsi="Courier New" w:cs="Courier New" w:hint="default"/>
        <w:rFonts w:cs="Courier New"/>
      </w:rPr>
    </w:lvl>
    <w:lvl w:ilvl="8">
      <w:start w:val="1"/>
      <w:numFmt w:val="bullet"/>
      <w:lvlText w:val=""/>
      <w:lvlJc w:val="left"/>
      <w:pPr>
        <w:ind w:left="6780" w:hanging="360"/>
      </w:pPr>
      <w:rPr>
        <w:rFonts w:ascii="Wingdings" w:hAnsi="Wingdings" w:cs="Wingdings" w:hint="default"/>
        <w:rFonts w:cs="Wingding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Strong">
    <w:name w:val="Strong"/>
    <w:qFormat/>
    <w:rPr>
      <w:b/>
      <w:bCs/>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qFormat/>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tLeast" w:line="360" w:before="0" w:after="1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