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rFonts w:ascii="Montserrat" w:hAnsi="Montserrat" w:cs="Montserrat"/>
          <w:b/>
          <w:b/>
          <w:bCs/>
          <w:color w:val="AE0600"/>
          <w:sz w:val="56"/>
          <w:szCs w:val="56"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5426075</wp:posOffset>
            </wp:positionH>
            <wp:positionV relativeFrom="paragraph">
              <wp:posOffset>-226695</wp:posOffset>
            </wp:positionV>
            <wp:extent cx="1422400" cy="1422400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5" t="-25" r="-25" b="-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Montserrat" w:ascii="Montserrat" w:hAnsi="Montserrat"/>
          <w:b/>
          <w:bCs/>
          <w:color w:val="AE0600"/>
          <w:sz w:val="56"/>
          <w:szCs w:val="56"/>
        </w:rPr>
        <w:t>B</w:t>
      </w:r>
      <w:r>
        <w:rPr>
          <w:rFonts w:cs="Montserrat" w:ascii="Montserrat" w:hAnsi="Montserrat"/>
          <w:b/>
          <w:bCs/>
          <w:color w:val="AE0600"/>
          <w:sz w:val="56"/>
          <w:szCs w:val="56"/>
        </w:rPr>
        <w:t>RAMHALL HIGH SCHOOL</w:t>
      </w:r>
    </w:p>
    <w:p>
      <w:pPr>
        <w:pStyle w:val="Normal"/>
        <w:rPr>
          <w:rFonts w:ascii="Montserrat" w:hAnsi="Montserrat" w:cs="Montserrat"/>
          <w:b/>
          <w:b/>
          <w:bCs/>
          <w:color w:val="000000"/>
          <w:sz w:val="56"/>
          <w:szCs w:val="56"/>
        </w:rPr>
      </w:pPr>
      <w:r>
        <w:rPr>
          <w:rFonts w:cs="Montserrat" w:ascii="Montserrat" w:hAnsi="Montserrat"/>
          <w:b/>
          <w:bCs/>
          <w:color w:val="000000"/>
          <w:sz w:val="56"/>
          <w:szCs w:val="56"/>
        </w:rPr>
        <w:t>Person Specification</w:t>
      </w:r>
    </w:p>
    <w:p>
      <w:pPr>
        <w:pStyle w:val="Normal"/>
        <w:rPr>
          <w:rFonts w:ascii="Montserrat" w:hAnsi="Montserrat" w:cs="Montserrat"/>
          <w:b/>
          <w:b/>
          <w:bCs/>
          <w:color w:val="000000"/>
          <w:sz w:val="56"/>
          <w:szCs w:val="56"/>
        </w:rPr>
      </w:pPr>
      <w:r>
        <w:rPr>
          <w:rFonts w:cs="Montserrat" w:ascii="Montserrat" w:hAnsi="Montserrat"/>
          <w:b/>
          <w:bCs/>
          <w:color w:val="000000"/>
          <w:sz w:val="56"/>
          <w:szCs w:val="56"/>
        </w:rPr>
      </w:r>
    </w:p>
    <w:p>
      <w:pPr>
        <w:pStyle w:val="Normal"/>
        <w:jc w:val="center"/>
        <w:rPr>
          <w:b/>
          <w:b/>
          <w:bCs/>
          <w:color w:val="000000"/>
          <w:sz w:val="44"/>
          <w:szCs w:val="44"/>
        </w:rPr>
      </w:pPr>
      <w:r>
        <w:rPr>
          <w:b/>
          <w:bCs/>
          <w:color w:val="000000"/>
          <w:sz w:val="44"/>
          <w:szCs w:val="44"/>
        </w:rPr>
        <w:t>Finance Assistant</w:t>
      </w:r>
    </w:p>
    <w:p>
      <w:pPr>
        <w:pStyle w:val="Normal"/>
        <w:rPr>
          <w:b/>
          <w:b/>
          <w:bCs/>
          <w:color w:val="000000"/>
          <w:sz w:val="12"/>
          <w:szCs w:val="12"/>
        </w:rPr>
      </w:pPr>
      <w:r>
        <w:rPr>
          <w:b/>
          <w:bCs/>
          <w:color w:val="000000"/>
          <w:sz w:val="12"/>
          <w:szCs w:val="12"/>
        </w:rPr>
      </w:r>
    </w:p>
    <w:p>
      <w:pPr>
        <w:pStyle w:val="Normal"/>
        <w:rPr>
          <w:b/>
          <w:b/>
          <w:bCs/>
          <w:color w:val="000000"/>
          <w:sz w:val="12"/>
          <w:szCs w:val="12"/>
        </w:rPr>
      </w:pPr>
      <w:r>
        <w:rPr>
          <w:b/>
          <w:bCs/>
          <w:color w:val="000000"/>
          <w:sz w:val="12"/>
          <w:szCs w:val="12"/>
        </w:rPr>
      </w:r>
    </w:p>
    <w:p>
      <w:pPr>
        <w:pStyle w:val="Normal"/>
        <w:rPr>
          <w:b/>
          <w:b/>
          <w:bCs/>
          <w:color w:val="000000"/>
          <w:sz w:val="12"/>
          <w:szCs w:val="12"/>
        </w:rPr>
      </w:pPr>
      <w:r>
        <w:rPr>
          <w:b/>
          <w:bCs/>
          <w:color w:val="000000"/>
          <w:sz w:val="12"/>
          <w:szCs w:val="12"/>
        </w:rPr>
      </w:r>
    </w:p>
    <w:p>
      <w:pPr>
        <w:pStyle w:val="Normal"/>
        <w:rPr>
          <w:b/>
          <w:b/>
          <w:bCs/>
          <w:color w:val="000000"/>
          <w:sz w:val="12"/>
          <w:szCs w:val="12"/>
        </w:rPr>
      </w:pPr>
      <w:r>
        <w:rPr>
          <w:b/>
          <w:bCs/>
          <w:color w:val="000000"/>
          <w:sz w:val="12"/>
          <w:szCs w:val="12"/>
        </w:rPr>
      </w:r>
    </w:p>
    <w:tbl>
      <w:tblPr>
        <w:tblW w:w="1046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6"/>
      </w:tblGrid>
      <w:tr>
        <w:trPr>
          <w:trHeight w:val="620" w:hRule="atLeast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Qualifications &amp; Training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b/>
                <w:bCs/>
                <w:color w:val="000000"/>
              </w:rPr>
              <w:t>Essential:</w:t>
            </w:r>
            <w:r>
              <w:rPr>
                <w:color w:val="000000"/>
              </w:rPr>
              <w:t xml:space="preserve"> A good general level of education, including a minimum of GCSE English and Mathematics (Grades 9–4 / A–C)* or equivalent.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Knowledge &amp; Experience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tbl>
            <w:tblPr>
              <w:tblW w:w="10240" w:type="dxa"/>
              <w:jc w:val="left"/>
              <w:tblInd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441"/>
              <w:gridCol w:w="4193"/>
              <w:gridCol w:w="4596"/>
              <w:gridCol w:w="10"/>
            </w:tblGrid>
            <w:tr>
              <w:trPr/>
              <w:tc>
                <w:tcPr>
                  <w:tcW w:w="14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Criteria</w:t>
                  </w:r>
                </w:p>
              </w:tc>
              <w:tc>
                <w:tcPr>
                  <w:tcW w:w="41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Essential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Desirable</w:t>
                  </w:r>
                </w:p>
              </w:tc>
            </w:tr>
            <w:tr>
              <w:trPr/>
              <w:tc>
                <w:tcPr>
                  <w:tcW w:w="14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Financial Admin</w:t>
                  </w:r>
                </w:p>
              </w:tc>
              <w:tc>
                <w:tcPr>
                  <w:tcW w:w="41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Prior experience in an administrative or finance role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Experience in handling orders, purchase invoices and petty cash.</w:t>
                  </w:r>
                </w:p>
              </w:tc>
            </w:tr>
            <w:tr>
              <w:trPr/>
              <w:tc>
                <w:tcPr>
                  <w:tcW w:w="14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Experience</w:t>
                  </w:r>
                </w:p>
              </w:tc>
              <w:tc>
                <w:tcPr>
                  <w:tcW w:w="41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Experience working in a busy office environment.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Prior experience working within a school, college, or local authority finance department.</w:t>
                  </w:r>
                </w:p>
              </w:tc>
            </w:tr>
            <w:tr>
              <w:trPr/>
              <w:tc>
                <w:tcPr>
                  <w:tcW w:w="14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Software Systems</w:t>
                  </w:r>
                </w:p>
              </w:tc>
              <w:tc>
                <w:tcPr>
                  <w:tcW w:w="41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Proficiency with Microsoft Office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Experience using specialist school management software (e.g., SIMS FMS, </w:t>
                  </w:r>
                </w:p>
              </w:tc>
            </w:tr>
            <w:tr>
              <w:trPr/>
              <w:tc>
                <w:tcPr>
                  <w:tcW w:w="14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Regulations</w:t>
                  </w:r>
                </w:p>
              </w:tc>
              <w:tc>
                <w:tcPr>
                  <w:tcW w:w="41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A clear understanding of data confidentiality and data protection laws (GDPR).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snapToGrid w:val="false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</w:r>
                </w:p>
              </w:tc>
            </w:tr>
            <w:tr>
              <w:trPr/>
              <w:tc>
                <w:tcPr>
                  <w:tcW w:w="1441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snapToGrid w:val="false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</w:r>
                </w:p>
              </w:tc>
              <w:tc>
                <w:tcPr>
                  <w:tcW w:w="4193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snapToGrid w:val="false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</w:r>
                </w:p>
              </w:tc>
              <w:tc>
                <w:tcPr>
                  <w:tcW w:w="4596" w:type="dxa"/>
                  <w:tcBorders/>
                  <w:shd w:fill="auto" w:val="clear"/>
                  <w:vAlign w:val="center"/>
                </w:tcPr>
                <w:p>
                  <w:pPr>
                    <w:pStyle w:val="Normal"/>
                    <w:snapToGrid w:val="false"/>
                    <w:spacing w:lineRule="auto" w:line="240" w:before="0" w:after="0"/>
                    <w:rPr>
                      <w:b/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</w:r>
                </w:p>
              </w:tc>
            </w:tr>
          </w:tbl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Skills &amp; Abilities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>Essential: Excellent numeracy skills with a strong, demonstrable attention to detail and accuracy.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>Essential: Strong organisational and time-management skills, with the ability to prioritise tasks, work under pressure, and meet strict monthly deadlines. [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Essential: Effective verbal and written communication skills to liaise with diverse stakeholders, including vendors, school governors, local authorities, and staff members. 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Essential: Ability to act on own initiative, problem-solve discrepancies, and work collaboratively as a team player. 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Personal Attributes &amp; Values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>Essential: Absolute personal integrity and professionalism when handling sensitive financial and payroll data.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>Essential: A calm, approachable, and patient demeanour when handling unexpected situations or queries from staff and students.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Essential: Commitment to safeguarding and child protection </w:t>
            </w:r>
          </w:p>
        </w:tc>
      </w:tr>
      <w:tr>
        <w:trPr/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>protocols; a satisfactory Enhanced DBS (Disclosure and Barring Service) check is mandatory for this role.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3"/>
      <w:type w:val="nextPage"/>
      <w:pgSz w:w="11906" w:h="16838"/>
      <w:pgMar w:left="720" w:right="720" w:header="708" w:top="765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Calibri Light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Montserrat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pStyle w:val="Heading7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rFonts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rFonts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rFonts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rFonts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rFonts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rFonts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rFonts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rFonts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rFonts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rFonts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rFonts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rFonts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rFonts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rFonts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rFonts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rFonts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rFonts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rFonts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rFonts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GB" w:eastAsia="en-GB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left="0" w:right="0" w:firstLine="360"/>
      <w:outlineLvl w:val="0"/>
    </w:pPr>
    <w:rPr>
      <w:rFonts w:ascii="Verdana" w:hAnsi="Verdana" w:eastAsia="Times New Roman" w:cs="Tahoma"/>
      <w:b/>
      <w:lang w:eastAsia="en-US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eastAsia="" w:cs=""/>
      <w:color w:val="2F5496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40" w:after="0"/>
      <w:outlineLvl w:val="2"/>
    </w:pPr>
    <w:rPr>
      <w:rFonts w:ascii="Calibri Light" w:hAnsi="Calibri Light" w:eastAsia="" w:cs=""/>
      <w:color w:val="1F3763"/>
      <w:sz w:val="24"/>
      <w:szCs w:val="24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>
      <w:rFonts w:ascii="Calibri" w:hAnsi="Calibri" w:cs="Calibri"/>
      <w:lang w:eastAsia="en-GB"/>
    </w:rPr>
  </w:style>
  <w:style w:type="character" w:styleId="FooterChar">
    <w:name w:val="Footer Char"/>
    <w:basedOn w:val="DefaultParagraphFont"/>
    <w:qFormat/>
    <w:rPr>
      <w:rFonts w:ascii="Calibri" w:hAnsi="Calibri" w:cs="Calibri"/>
      <w:lang w:eastAsia="en-GB"/>
    </w:rPr>
  </w:style>
  <w:style w:type="character" w:styleId="Heading7Char">
    <w:name w:val="Heading 7 Char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Heading2Char">
    <w:name w:val="Heading 2 Char"/>
    <w:basedOn w:val="DefaultParagraphFont"/>
    <w:qFormat/>
    <w:rPr>
      <w:rFonts w:ascii="Calibri Light" w:hAnsi="Calibri Light" w:eastAsia="" w:cs=""/>
      <w:color w:val="2F5496"/>
      <w:sz w:val="26"/>
      <w:szCs w:val="26"/>
      <w:lang w:eastAsia="en-GB"/>
    </w:rPr>
  </w:style>
  <w:style w:type="character" w:styleId="BodyTextChar">
    <w:name w:val="Body Text Char"/>
    <w:basedOn w:val="DefaultParagraphFont"/>
    <w:qFormat/>
    <w:rPr>
      <w:rFonts w:ascii="Verdana" w:hAnsi="Verdana" w:eastAsia="Times New Roman" w:cs="Tahoma"/>
      <w:bCs/>
    </w:rPr>
  </w:style>
  <w:style w:type="character" w:styleId="Heading1Char">
    <w:name w:val="Heading 1 Char"/>
    <w:basedOn w:val="DefaultParagraphFont"/>
    <w:qFormat/>
    <w:rPr>
      <w:rFonts w:ascii="Verdana" w:hAnsi="Verdana" w:eastAsia="Times New Roman" w:cs="Tahoma"/>
      <w:b/>
    </w:rPr>
  </w:style>
  <w:style w:type="character" w:styleId="Strong">
    <w:name w:val="Strong"/>
    <w:qFormat/>
    <w:rPr>
      <w:b/>
      <w:bCs/>
      <w:spacing w:val="0"/>
    </w:rPr>
  </w:style>
  <w:style w:type="character" w:styleId="Heading3Char">
    <w:name w:val="Heading 3 Char"/>
    <w:basedOn w:val="DefaultParagraphFont"/>
    <w:qFormat/>
    <w:rPr>
      <w:rFonts w:ascii="Calibri Light" w:hAnsi="Calibri Light" w:eastAsia="" w:cs=""/>
      <w:color w:val="1F3763"/>
      <w:sz w:val="24"/>
      <w:szCs w:val="24"/>
      <w:lang w:eastAsia="en-GB"/>
    </w:rPr>
  </w:style>
  <w:style w:type="character" w:styleId="Normaltextrun">
    <w:name w:val="normaltextrun"/>
    <w:qFormat/>
    <w:rPr/>
  </w:style>
  <w:style w:type="character" w:styleId="InternetLink">
    <w:name w:val="Internet 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/>
    <w:rPr>
      <w:rFonts w:ascii="Verdana" w:hAnsi="Verdana" w:eastAsia="Times New Roman" w:cs="Tahoma"/>
      <w:bCs/>
      <w:lang w:eastAsia="en-US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GB" w:eastAsia="en-US" w:bidi="ar-SA"/>
    </w:rPr>
  </w:style>
  <w:style w:type="paragraph" w:styleId="Level1">
    <w:name w:val="Level 1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