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2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76"/>
        <w:gridCol w:w="6846"/>
        <w:tblGridChange w:id="0">
          <w:tblGrid>
            <w:gridCol w:w="3176"/>
            <w:gridCol w:w="6846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2"/>
            <w:shd w:fill="006fc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Job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Department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Business Studies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Post Title:</w:t>
            </w:r>
          </w:p>
        </w:tc>
        <w:tc>
          <w:tcPr>
            <w:shd w:fill="006fc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rtl w:val="0"/>
              </w:rPr>
              <w:t xml:space="preserve">2nd in Enterprise Faculty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ffffff"/>
                <w:rtl w:val="0"/>
              </w:rPr>
              <w:t xml:space="preserve">Lead Teacher of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u w:val="none"/>
                <w:shd w:fill="auto" w:val="clear"/>
                <w:vertAlign w:val="baseline"/>
                <w:rtl w:val="0"/>
              </w:rPr>
              <w:t xml:space="preserve">Business Studies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Salary Scale/Range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TLR2C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Full Time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Permanent/Fixed Term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212121"/>
                <w:u w:val="none"/>
                <w:shd w:fill="auto" w:val="clear"/>
                <w:vertAlign w:val="baseline"/>
                <w:rtl w:val="0"/>
              </w:rPr>
              <w:t xml:space="preserve">Full time. Permanent.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Posts Responsible to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Head of Enterprise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Posts Responsible for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5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Teachers </w:t>
            </w: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in Enterprise Faculty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both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Job Purpose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97" w:hanging="3.000000000000007"/>
              <w:jc w:val="both"/>
              <w:rPr>
                <w:rFonts w:ascii="Century Gothic" w:cs="Century Gothic" w:eastAsia="Century Gothic" w:hAnsi="Century Gothic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rtl w:val="0"/>
              </w:rPr>
              <w:t xml:space="preserve">The prime responsibility of the post of Lead Teacher of Business Studies is to lead and coordinate high-quality teaching and learning in GCSE Business Studies and support the Head of Enterprise in developing a faculty-wide approach to teaching and curriculum. Leadership, innovation, and vision are required to ensure every student reaches their potential, and to develop the school as a centre of excellence in Business Studies teaching and Enterprise education.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hmnpnoxnoxrc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Monitor Curriculum Provision and Development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Lead the planning, implementation, and review of the Business Studies GCSE curriculum to ensure it meets school priorities and national standards.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Develop, monitor, and review Schemes of Learning, lesson resources, and assessment frameworks across the faculty.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Track student progress using assessment data, identify gaps, and implement targeted interventions to maximise attainment.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Ensure examination preparation and entries are accurate and meet school deadlines.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Lead initiatives to enhance teaching and learning, including innovative approaches and enrichment opportunities.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Establish links with partner schools, local businesses, and educational institutions to enhance student experiences and opportunities.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rmwgye7or8li" w:id="2"/>
      <w:bookmarkEnd w:id="2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Evaluation of Learning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Carry out staff appraisals and performance reviews within the faculty, providing mentoring and coaching to develop teaching practice.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Monitor teaching and learning through observation, work reviews, and quality assurance processes to maintain high standards.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Advise on CPD and INSET needs, ensuring faculty staff are well supported and professional development is targeted and effective.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Use tracking data to set individual student targets and class targets, supporting teachers in maximising student outcomes.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kduewxxflw53" w:id="3"/>
      <w:bookmarkEnd w:id="3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Departmental Administration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Support the Head of Enterprise in managing the faculty budget, resources, and learning environments efficiently.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Ensure all faculty areas are well presented, contemporary, and fully resourced to support high-quality learning.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Promote health, safety, and wellbeing across the faculty, ensuring best practices are embedded.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Contribute to the promotion of the faculty internally and externally through the VLE, school website, newsletter, and other media channels.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efo1dclvudi1" w:id="4"/>
      <w:bookmarkEnd w:id="4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Departmental Communication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Attend and contribute to Heads of Department meetings to ensure effective information flow to and from the faculty.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Ensure effective communication within the faculty and with other teams in the school.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Promote a collaborative and professional culture within the faculty, modelling high expectations of staff and students.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Foster excellent student-teacher relationships through engaging approaches to learning, while implementing robust strategies to support student progress.</w:t>
        <w:br w:type="textWrapping"/>
      </w:r>
    </w:p>
    <w:p w:rsidR="00000000" w:rsidDel="00000000" w:rsidP="00000000" w:rsidRDefault="00000000" w:rsidRPr="00000000" w14:paraId="00000030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uj3syxmqpi2n" w:id="5"/>
      <w:bookmarkEnd w:id="5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Other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Deputise for the Head of Enterprise as required, providing leadership and guidance to faculty staff.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Support whole-school initiatives and events, contributing actively to the school’s wider strategic goals.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Undertake any other duties as may be reasonably requested by the Headteacher.</w:t>
        <w:br w:type="textWrapping"/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hrtm8ok0b4m" w:id="6"/>
      <w:bookmarkEnd w:id="6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Professional Development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Maintain personal professional development to ensure knowledge and skills in Business Studies, Enterprise, and curriculum leadership remain current.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Act as a professional role model, promoting the aims, values, and ethos of the school and Trust.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p0jwrq82n44a" w:id="7"/>
      <w:bookmarkEnd w:id="7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Safeguarding and Promoting the Welfare of Children and Young People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Adhere to the statutory guidance ‘Keeping Children Safe in Education’ and follow all Trust policies and procedures relating to safeguarding at all times.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m7y28ejrml5o" w:id="8"/>
      <w:bookmarkEnd w:id="8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Data Protection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4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Comply with GDPR, the Data Protection Act 2018, and all Trust information governance policies and procedures.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mbiqcf2b5mzc" w:id="9"/>
      <w:bookmarkEnd w:id="9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Equality and Diversity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24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Treat all people with dignity and respect, upholding the school’s commitment to equality, diversity, and inclusion.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rPr>
          <w:rFonts w:ascii="Century Gothic" w:cs="Century Gothic" w:eastAsia="Century Gothic" w:hAnsi="Century Gothic"/>
          <w:sz w:val="22"/>
          <w:szCs w:val="22"/>
        </w:rPr>
      </w:pPr>
      <w:bookmarkStart w:colFirst="0" w:colLast="0" w:name="_heading=h.bgz89qi15ez4" w:id="10"/>
      <w:bookmarkEnd w:id="10"/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Health and Safety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Take responsibility for personal health and safety and that of others affected by work activities.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Co-operate with the Trust and colleagues to ensure compliance with all health and safety regulations and policies.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180" w:top="2000" w:left="1220" w:right="440" w:header="708" w:footer="9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9906000</wp:posOffset>
              </wp:positionV>
              <wp:extent cx="4918710" cy="231775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91408" y="3668875"/>
                        <a:ext cx="4909185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43.00000190734863" w:right="43.00000190734863" w:firstLine="43.0000019073486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Education Learning Trust. Registered address: Hawthorn Road, Gatley, Cheadle, Cheshire, SK8 4NB. A charitable company limited by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41.99999809265137" w:right="43.00000190734863" w:firstLine="41.99999809265137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guarantee registered in England and Wales (company number: 09142319)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546100</wp:posOffset>
              </wp:positionH>
              <wp:positionV relativeFrom="paragraph">
                <wp:posOffset>9906000</wp:posOffset>
              </wp:positionV>
              <wp:extent cx="4918710" cy="231775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18710" cy="231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1217729</wp:posOffset>
          </wp:positionH>
          <wp:positionV relativeFrom="page">
            <wp:posOffset>449579</wp:posOffset>
          </wp:positionV>
          <wp:extent cx="1830083" cy="765386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0083" cy="7653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33" w:hanging="72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ind w:left="933" w:hanging="723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213" w:hanging="3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213" w:hanging="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fontTable" Target="fontTable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theme" Target="theme/theme1.xml" /><Relationship Id="rId5" Type="http://schemas.openxmlformats.org/officeDocument/2006/relationships/styles" Target="styles.xml" /><Relationship Id="rId4" Type="http://schemas.openxmlformats.org/officeDocument/2006/relationships/numbering" Target="numbering.xml" /> 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digs</dc:creator>
  <dcterms:created xsi:type="dcterms:W3CDTF">2023-10-09T10:47:00Z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0x0101002BEDB521D835884383E84641D9450E47</vt:lpwstr>
  </property>
</Properties>
</file>