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1102" w:type="dxa"/>
        <w:jc w:val="left"/>
        <w:tblInd w:w="86" w:type="dxa"/>
        <w:tblCellMar>
          <w:top w:w="0" w:type="dxa"/>
          <w:left w:w="108" w:type="dxa"/>
          <w:bottom w:w="0" w:type="dxa"/>
          <w:right w:w="108" w:type="dxa"/>
        </w:tblCellMar>
      </w:tblPr>
      <w:tblGrid>
        <w:gridCol w:w="11102"/>
      </w:tblGrid>
      <w:tr>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Title"/>
              <w:ind w:left="-142" w:right="0" w:hanging="0"/>
              <w:rPr/>
            </w:pPr>
            <w:r>
              <w:rPr/>
              <w:drawing>
                <wp:inline distT="0" distB="0" distL="0" distR="0">
                  <wp:extent cx="7203440" cy="102806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rcRect l="-5" t="-35" r="-5" b="-35"/>
                          <a:stretch>
                            <a:fillRect/>
                          </a:stretch>
                        </pic:blipFill>
                        <pic:spPr bwMode="auto">
                          <a:xfrm>
                            <a:off x="0" y="0"/>
                            <a:ext cx="7203440" cy="1028065"/>
                          </a:xfrm>
                          <a:prstGeom prst="rect">
                            <a:avLst/>
                          </a:prstGeom>
                        </pic:spPr>
                      </pic:pic>
                    </a:graphicData>
                  </a:graphic>
                </wp:inline>
              </w:drawing>
              <mc:AlternateContent>
                <mc:Choice Requires="wps">
                  <w:drawing>
                    <wp:anchor behindDoc="0" distT="0" distB="0" distL="114935" distR="114935" simplePos="0" locked="0" layoutInCell="1" allowOverlap="1" relativeHeight="7">
                      <wp:simplePos x="0" y="0"/>
                      <wp:positionH relativeFrom="column">
                        <wp:posOffset>57785</wp:posOffset>
                      </wp:positionH>
                      <wp:positionV relativeFrom="paragraph">
                        <wp:posOffset>1190625</wp:posOffset>
                      </wp:positionV>
                      <wp:extent cx="1805940" cy="515620"/>
                      <wp:effectExtent l="0" t="0" r="0" b="0"/>
                      <wp:wrapNone/>
                      <wp:docPr id="1" name="Text Box 9"/>
                      <a:graphic xmlns:a="http://schemas.openxmlformats.org/drawingml/2006/main">
                        <a:graphicData uri="http://schemas.microsoft.com/office/word/2010/wordprocessingShape">
                          <wps:wsp>
                            <wps:cNvSpPr/>
                            <wps:spPr>
                              <a:xfrm>
                                <a:off x="0" y="0"/>
                                <a:ext cx="1805400" cy="5151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9" fillcolor="white" stroked="f" style="position:absolute;margin-left:4.55pt;margin-top:93.75pt;width:142.1pt;height:40.5pt">
                      <w10:wrap type="none"/>
                      <v:fill o:detectmouseclick="t" type="solid" color2="black"/>
                      <v:stroke color="#3465a4" joinstyle="round" endcap="flat"/>
                    </v:rect>
                  </w:pict>
                </mc:Fallback>
              </mc:AlternateContent>
            </w:r>
            <w:r>
              <w:rPr>
                <w:rFonts w:eastAsia="Verdana" w:cs="Verdana" w:ascii="Verdana" w:hAnsi="Verdana"/>
                <w:b w:val="false"/>
                <w:sz w:val="24"/>
                <w:u w:val="none"/>
              </w:rPr>
              <w:t xml:space="preserve"> </w:t>
            </w:r>
            <w:r>
              <w:rPr>
                <w:rFonts w:cs="Verdana" w:ascii="Verdana" w:hAnsi="Verdana"/>
                <w:szCs w:val="32"/>
                <w:u w:val="none"/>
              </w:rPr>
              <w:t>Stockport Council</w:t>
            </w:r>
            <w:r>
              <mc:AlternateContent>
                <mc:Choice Requires="wps">
                  <w:drawing>
                    <wp:anchor behindDoc="0" distT="72390" distB="72390" distL="0" distR="0" simplePos="0" locked="0" layoutInCell="1" allowOverlap="1" relativeHeight="8">
                      <wp:simplePos x="0" y="0"/>
                      <wp:positionH relativeFrom="column">
                        <wp:posOffset>57785</wp:posOffset>
                      </wp:positionH>
                      <wp:positionV relativeFrom="paragraph">
                        <wp:posOffset>1190625</wp:posOffset>
                      </wp:positionV>
                      <wp:extent cx="1805305" cy="424180"/>
                      <wp:effectExtent l="0" t="0" r="0" b="0"/>
                      <wp:wrapNone/>
                      <wp:docPr id="3" name="Frame1"/>
                      <a:graphic xmlns:a="http://schemas.openxmlformats.org/drawingml/2006/main">
                        <a:graphicData uri="http://schemas.microsoft.com/office/word/2010/wordprocessingShape">
                          <wps:wsp>
                            <wps:cNvSpPr txBox="1"/>
                            <wps:spPr>
                              <a:xfrm>
                                <a:off x="0" y="0"/>
                                <a:ext cx="1805305" cy="424180"/>
                              </a:xfrm>
                              <a:prstGeom prst="rect"/>
                              <a:solidFill>
                                <a:srgbClr val="FFFFFF"/>
                              </a:solidFill>
                            </wps:spPr>
                            <wps:txbx>
                              <w:txbxContent>
                                <w:p>
                                  <w:pPr>
                                    <w:pStyle w:val="FrameContents"/>
                                    <w:rPr/>
                                  </w:pPr>
                                  <w:r>
                                    <w:rPr/>
                                    <w:drawing>
                                      <wp:inline distT="0" distB="0" distL="0" distR="0">
                                        <wp:extent cx="1617345" cy="333375"/>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0" t="-48" r="-10" b="-48"/>
                                                <a:stretch>
                                                  <a:fillRect/>
                                                </a:stretch>
                                              </pic:blipFill>
                                              <pic:spPr bwMode="auto">
                                                <a:xfrm>
                                                  <a:off x="0" y="0"/>
                                                  <a:ext cx="1617345" cy="33337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42.15pt;height:33.4pt;mso-wrap-distance-left:0pt;mso-wrap-distance-right:0pt;mso-wrap-distance-top:5.7pt;mso-wrap-distance-bottom:5.7pt;margin-top:93.75pt;mso-position-vertical-relative:text;margin-left:4.55pt;mso-position-horizontal-relative:text">
                      <v:textbox inset="0.100694444444444in,0.0506944444444444in,0.100694444444444in,0.0506944444444444in">
                        <w:txbxContent>
                          <w:p>
                            <w:pPr>
                              <w:pStyle w:val="FrameContents"/>
                              <w:rPr/>
                            </w:pPr>
                            <w:r>
                              <w:rPr/>
                              <w:drawing>
                                <wp:inline distT="0" distB="0" distL="0" distR="0">
                                  <wp:extent cx="1617345" cy="333375"/>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0" t="-48" r="-10" b="-48"/>
                                          <a:stretch>
                                            <a:fillRect/>
                                          </a:stretch>
                                        </pic:blipFill>
                                        <pic:spPr bwMode="auto">
                                          <a:xfrm>
                                            <a:off x="0" y="0"/>
                                            <a:ext cx="1617345" cy="333375"/>
                                          </a:xfrm>
                                          <a:prstGeom prst="rect">
                                            <a:avLst/>
                                          </a:prstGeom>
                                        </pic:spPr>
                                      </pic:pic>
                                    </a:graphicData>
                                  </a:graphic>
                                </wp:inline>
                              </w:drawing>
                            </w:r>
                          </w:p>
                        </w:txbxContent>
                      </v:textbox>
                    </v:rect>
                  </w:pict>
                </mc:Fallback>
              </mc:AlternateContent>
            </w:r>
          </w:p>
          <w:p>
            <w:pPr>
              <w:pStyle w:val="Normal"/>
              <w:tabs>
                <w:tab w:val="left" w:pos="720" w:leader="none"/>
                <w:tab w:val="left" w:pos="1440" w:leader="none"/>
                <w:tab w:val="left" w:pos="2160" w:leader="none"/>
                <w:tab w:val="left" w:pos="2880" w:leader="none"/>
                <w:tab w:val="left" w:pos="6570" w:leader="none"/>
              </w:tabs>
              <w:jc w:val="center"/>
              <w:rPr>
                <w:rFonts w:ascii="Verdana" w:hAnsi="Verdana" w:cs="Verdana"/>
                <w:b/>
                <w:b/>
                <w:sz w:val="32"/>
                <w:szCs w:val="32"/>
              </w:rPr>
            </w:pPr>
            <w:r>
              <w:rPr>
                <w:rFonts w:cs="Verdana" w:ascii="Verdana" w:hAnsi="Verdana"/>
                <w:b/>
                <w:sz w:val="32"/>
                <w:szCs w:val="32"/>
              </w:rPr>
              <w:t>Job Description</w:t>
            </w:r>
          </w:p>
          <w:p>
            <w:pPr>
              <w:pStyle w:val="Normal"/>
              <w:tabs>
                <w:tab w:val="left" w:pos="720" w:leader="none"/>
                <w:tab w:val="left" w:pos="1440" w:leader="none"/>
                <w:tab w:val="left" w:pos="2160" w:leader="none"/>
                <w:tab w:val="left" w:pos="2880" w:leader="none"/>
                <w:tab w:val="left" w:pos="6570" w:leader="none"/>
              </w:tabs>
              <w:rPr/>
            </w:pPr>
            <w:r>
              <w:rPr/>
            </w:r>
          </w:p>
        </w:tc>
      </w:tr>
      <w:tr>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snapToGrid w:val="false"/>
              <w:rPr>
                <w:rFonts w:ascii="Verdana" w:hAnsi="Verdana" w:cs="Verdana"/>
              </w:rPr>
            </w:pPr>
            <w:r>
              <w:rPr>
                <w:rFonts w:cs="Verdana" w:ascii="Verdana" w:hAnsi="Verdana"/>
              </w:rPr>
            </w:r>
          </w:p>
          <w:p>
            <w:pPr>
              <w:pStyle w:val="Title"/>
              <w:jc w:val="left"/>
              <w:rPr>
                <w:rFonts w:ascii="Verdana" w:hAnsi="Verdana" w:cs="Verdana"/>
                <w:sz w:val="20"/>
                <w:u w:val="none"/>
              </w:rPr>
            </w:pPr>
            <w:r>
              <w:rPr>
                <w:rFonts w:cs="Verdana" w:ascii="Verdana" w:hAnsi="Verdana"/>
                <w:sz w:val="20"/>
                <w:u w:val="none"/>
              </w:rPr>
              <w:t>Job Title: SEND Teacher</w:t>
            </w:r>
          </w:p>
          <w:p>
            <w:pPr>
              <w:pStyle w:val="Title"/>
              <w:jc w:val="left"/>
              <w:rPr>
                <w:rFonts w:ascii="Verdana" w:hAnsi="Verdana" w:cs="Verdana"/>
                <w:sz w:val="20"/>
                <w:u w:val="none"/>
              </w:rPr>
            </w:pPr>
            <w:r>
              <w:rPr>
                <w:rFonts w:cs="Verdana" w:ascii="Verdana" w:hAnsi="Verdana"/>
                <w:sz w:val="20"/>
                <w:u w:val="none"/>
              </w:rPr>
              <w:tab/>
              <w:tab/>
              <w:tab/>
            </w:r>
          </w:p>
          <w:p>
            <w:pPr>
              <w:pStyle w:val="Normal"/>
              <w:rPr>
                <w:rFonts w:ascii="Verdana" w:hAnsi="Verdana" w:cs="Verdana"/>
                <w:b/>
                <w:b/>
              </w:rPr>
            </w:pPr>
            <w:r>
              <w:rPr>
                <w:rFonts w:cs="Verdana" w:ascii="Verdana" w:hAnsi="Verdana"/>
                <w:b/>
              </w:rPr>
              <w:t xml:space="preserve">School: Tithe Barn Primary School               </w:t>
            </w:r>
          </w:p>
          <w:p>
            <w:pPr>
              <w:pStyle w:val="Normal"/>
              <w:rPr>
                <w:rFonts w:ascii="Verdana" w:hAnsi="Verdana" w:eastAsia="Verdana" w:cs="Verdana"/>
                <w:b/>
                <w:b/>
                <w:position w:val="0"/>
              </w:rPr>
            </w:pPr>
            <w:r>
              <w:rPr>
                <w:rFonts w:eastAsia="Verdana" w:cs="Verdana" w:ascii="Verdana" w:hAnsi="Verdana"/>
                <w:b/>
                <w:position w:val="0"/>
              </w:rPr>
              <w:t xml:space="preserve">               </w:t>
            </w:r>
          </w:p>
          <w:p>
            <w:pPr>
              <w:pStyle w:val="Title"/>
              <w:jc w:val="left"/>
              <w:rPr>
                <w:rFonts w:ascii="Verdana" w:hAnsi="Verdana" w:cs="Verdana"/>
                <w:sz w:val="20"/>
                <w:u w:val="none"/>
              </w:rPr>
            </w:pPr>
            <w:r>
              <w:rPr>
                <w:rFonts w:cs="Verdana" w:ascii="Verdana" w:hAnsi="Verdana"/>
                <w:sz w:val="20"/>
                <w:u w:val="none"/>
              </w:rPr>
              <w:t xml:space="preserve">Salary Grade: Teachers’ Pay Range </w:t>
            </w:r>
          </w:p>
          <w:p>
            <w:pPr>
              <w:pStyle w:val="Normal"/>
              <w:rPr>
                <w:rFonts w:ascii="Verdana" w:hAnsi="Verdana" w:cs="Verdana"/>
              </w:rPr>
            </w:pPr>
            <w:r>
              <w:rPr>
                <w:rFonts w:cs="Verdana" w:ascii="Verdana" w:hAnsi="Verdana"/>
              </w:rPr>
            </w:r>
          </w:p>
        </w:tc>
      </w:tr>
      <w:tr>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snapToGrid w:val="false"/>
              <w:rPr>
                <w:rFonts w:ascii="Verdana" w:hAnsi="Verdana" w:cs="Verdana"/>
                <w:b/>
                <w:b/>
              </w:rPr>
            </w:pPr>
            <w:r>
              <w:rPr>
                <w:rFonts w:cs="Verdana" w:ascii="Verdana" w:hAnsi="Verdana"/>
                <w:b/>
              </w:rPr>
            </w:r>
          </w:p>
          <w:p>
            <w:pPr>
              <w:pStyle w:val="Normal"/>
              <w:rPr>
                <w:rFonts w:ascii="Verdana" w:hAnsi="Verdana" w:cs="Verdana"/>
                <w:b/>
                <w:b/>
              </w:rPr>
            </w:pPr>
            <w:r>
              <w:rPr>
                <w:rFonts w:cs="Verdana" w:ascii="Verdana" w:hAnsi="Verdana"/>
                <w:b/>
              </w:rPr>
              <w:t xml:space="preserve">Post Reports to:     Headteacher     </w:t>
            </w:r>
          </w:p>
          <w:p>
            <w:pPr>
              <w:pStyle w:val="Normal"/>
              <w:rPr>
                <w:rFonts w:ascii="Verdana" w:hAnsi="Verdana" w:eastAsia="Verdana" w:cs="Verdana"/>
                <w:b/>
                <w:b/>
              </w:rPr>
            </w:pPr>
            <w:r>
              <w:rPr>
                <w:rFonts w:eastAsia="Verdana" w:cs="Verdana" w:ascii="Verdana" w:hAnsi="Verdana"/>
                <w:b/>
              </w:rPr>
              <w:t xml:space="preserve">  </w:t>
            </w:r>
          </w:p>
        </w:tc>
      </w:tr>
      <w:tr>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rPr/>
            </w:pPr>
            <w:r>
              <w:rPr>
                <w:rFonts w:cs="Verdana" w:ascii="Verdana" w:hAnsi="Verdana"/>
                <w:b/>
              </w:rPr>
              <w:t>Main Purpose of the Job:</w:t>
            </w:r>
            <w:r>
              <w:rPr>
                <w:rFonts w:cs="Verdana" w:ascii="Verdana" w:hAnsi="Verdana"/>
              </w:rPr>
              <w:t xml:space="preserve">  </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To make the education of your pupils your first concern through identifying and understanding the needs of the children in your care and implementing the most effective teaching approaches</w:t>
            </w:r>
          </w:p>
          <w:p>
            <w:pPr>
              <w:pStyle w:val="Default"/>
              <w:rPr>
                <w:rFonts w:ascii="Verdana" w:hAnsi="Verdana" w:cs="Verdana"/>
                <w:sz w:val="20"/>
                <w:szCs w:val="20"/>
              </w:rPr>
            </w:pPr>
            <w:r>
              <w:rPr>
                <w:rFonts w:cs="Verdana" w:ascii="Verdana" w:hAnsi="Verdana"/>
                <w:sz w:val="20"/>
                <w:szCs w:val="20"/>
              </w:rPr>
            </w:r>
          </w:p>
          <w:p>
            <w:pPr>
              <w:pStyle w:val="Default"/>
              <w:rPr>
                <w:rFonts w:ascii="Verdana" w:hAnsi="Verdana" w:cs="Verdana"/>
                <w:sz w:val="20"/>
                <w:szCs w:val="20"/>
              </w:rPr>
            </w:pPr>
            <w:r>
              <w:rPr>
                <w:rFonts w:cs="Verdana" w:ascii="Verdana" w:hAnsi="Verdana"/>
                <w:sz w:val="20"/>
                <w:szCs w:val="20"/>
              </w:rPr>
              <w:t>To be accountable for achieving the highest possible standards in work and conduct.</w:t>
            </w:r>
          </w:p>
          <w:p>
            <w:pPr>
              <w:pStyle w:val="Default"/>
              <w:rPr>
                <w:rFonts w:ascii="Verdana" w:hAnsi="Verdana" w:cs="Verdana"/>
                <w:sz w:val="20"/>
                <w:szCs w:val="20"/>
              </w:rPr>
            </w:pPr>
            <w:r>
              <w:rPr>
                <w:rFonts w:cs="Verdana" w:ascii="Verdana" w:hAnsi="Verdana"/>
                <w:sz w:val="20"/>
                <w:szCs w:val="20"/>
              </w:rPr>
            </w:r>
          </w:p>
          <w:p>
            <w:pPr>
              <w:pStyle w:val="Default"/>
              <w:rPr>
                <w:rFonts w:ascii="Verdana" w:hAnsi="Verdana" w:cs="Verdana"/>
                <w:sz w:val="20"/>
                <w:szCs w:val="20"/>
              </w:rPr>
            </w:pPr>
            <w:r>
              <w:rPr>
                <w:rFonts w:cs="Verdana" w:ascii="Verdana" w:hAnsi="Verdana"/>
                <w:sz w:val="20"/>
                <w:szCs w:val="20"/>
              </w:rPr>
              <w:t>To have strong subject knowledge and to keep your knowledge and skills as a teacher up-to-date.</w:t>
            </w:r>
          </w:p>
          <w:p>
            <w:pPr>
              <w:pStyle w:val="Default"/>
              <w:rPr>
                <w:rFonts w:ascii="Verdana" w:hAnsi="Verdana" w:cs="Verdana"/>
                <w:sz w:val="20"/>
                <w:szCs w:val="20"/>
              </w:rPr>
            </w:pPr>
            <w:r>
              <w:rPr>
                <w:rFonts w:cs="Verdana" w:ascii="Verdana" w:hAnsi="Verdana"/>
                <w:sz w:val="20"/>
                <w:szCs w:val="20"/>
              </w:rPr>
            </w:r>
          </w:p>
          <w:p>
            <w:pPr>
              <w:pStyle w:val="Default"/>
              <w:spacing w:before="0" w:after="221"/>
              <w:rPr>
                <w:rFonts w:ascii="Verdana" w:hAnsi="Verdana" w:cs="Verdana"/>
                <w:sz w:val="20"/>
                <w:szCs w:val="20"/>
              </w:rPr>
            </w:pPr>
            <w:r>
              <w:rPr>
                <w:rFonts w:cs="Verdana" w:ascii="Verdana" w:hAnsi="Verdana"/>
                <w:sz w:val="20"/>
                <w:szCs w:val="20"/>
              </w:rPr>
              <w:t xml:space="preserve">To plan and teach lessons to the classes to which you are assigned within the context of the school’s plans, curriculum and schemes of work. </w:t>
            </w:r>
          </w:p>
          <w:p>
            <w:pPr>
              <w:pStyle w:val="Default"/>
              <w:rPr>
                <w:rFonts w:ascii="Verdana" w:hAnsi="Verdana" w:cs="Verdana"/>
                <w:sz w:val="20"/>
                <w:szCs w:val="20"/>
              </w:rPr>
            </w:pPr>
            <w:r>
              <w:rPr>
                <w:rFonts w:cs="Verdana" w:ascii="Verdana" w:hAnsi="Verdana"/>
                <w:sz w:val="20"/>
                <w:szCs w:val="20"/>
              </w:rPr>
              <w:t>To assess, monitor, record and report on the learning needs, progress and achievements of assigned pupils including the requirement to attend all Annual Reviews and meetings for the children in your care.</w:t>
            </w:r>
          </w:p>
          <w:p>
            <w:pPr>
              <w:pStyle w:val="Default"/>
              <w:rPr>
                <w:rFonts w:ascii="Verdana" w:hAnsi="Verdana" w:cs="Verdana"/>
                <w:sz w:val="20"/>
                <w:szCs w:val="20"/>
              </w:rPr>
            </w:pPr>
            <w:r>
              <w:rPr>
                <w:rFonts w:cs="Verdana" w:ascii="Verdana" w:hAnsi="Verdana"/>
                <w:sz w:val="20"/>
                <w:szCs w:val="20"/>
              </w:rPr>
            </w:r>
          </w:p>
          <w:p>
            <w:pPr>
              <w:pStyle w:val="Default"/>
              <w:spacing w:before="0" w:after="221"/>
              <w:rPr>
                <w:rFonts w:ascii="Verdana" w:hAnsi="Verdana" w:cs="Verdana"/>
                <w:sz w:val="20"/>
                <w:szCs w:val="20"/>
              </w:rPr>
            </w:pPr>
            <w:r>
              <w:rPr>
                <w:rFonts w:cs="Verdana" w:ascii="Verdana" w:hAnsi="Verdana"/>
                <w:sz w:val="20"/>
                <w:szCs w:val="20"/>
              </w:rPr>
              <w:t xml:space="preserve">To contribute to the development, implementation and evaluation of the school’s policies, practices and procedures in such a way as to support the school’s values and vision. </w:t>
            </w:r>
          </w:p>
          <w:p>
            <w:pPr>
              <w:pStyle w:val="Default"/>
              <w:rPr>
                <w:rFonts w:ascii="Verdana" w:hAnsi="Verdana" w:cs="Verdana"/>
                <w:sz w:val="20"/>
                <w:szCs w:val="20"/>
              </w:rPr>
            </w:pPr>
            <w:r>
              <w:rPr>
                <w:rFonts w:cs="Verdana" w:ascii="Verdana" w:hAnsi="Verdana"/>
                <w:sz w:val="20"/>
                <w:szCs w:val="20"/>
              </w:rPr>
              <w:t>To work with, lead and manage others as part of a team on curriculum and/or pupil development to secure co-ordinated outcomes.</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t>To liaise and collaborate with staff, parents and external agencies in support of the principle of co-production, as detailed in Stockport’s Entitlement Framework.</w:t>
            </w:r>
          </w:p>
          <w:p>
            <w:pPr>
              <w:pStyle w:val="Normal"/>
              <w:rPr/>
            </w:pPr>
            <w:r>
              <w:rPr/>
            </w:r>
          </w:p>
          <w:p>
            <w:pPr>
              <w:pStyle w:val="Normal"/>
              <w:rPr>
                <w:rFonts w:ascii="Verdana" w:hAnsi="Verdana" w:cs="Verdana"/>
              </w:rPr>
            </w:pPr>
            <w:r>
              <w:rPr>
                <w:rFonts w:cs="Verdana" w:ascii="Verdana" w:hAnsi="Verdana"/>
              </w:rPr>
              <w:t>To liaise with outside agencies, nurseries, pre-schools and primary provision to support the transition of new pupils</w:t>
            </w:r>
          </w:p>
          <w:p>
            <w:pPr>
              <w:pStyle w:val="Default"/>
              <w:rPr>
                <w:rFonts w:ascii="Verdana" w:hAnsi="Verdana" w:cs="Verdana"/>
                <w:sz w:val="20"/>
                <w:szCs w:val="20"/>
              </w:rPr>
            </w:pPr>
            <w:r>
              <w:rPr>
                <w:rFonts w:cs="Verdana" w:ascii="Verdana" w:hAnsi="Verdana"/>
                <w:sz w:val="20"/>
                <w:szCs w:val="20"/>
              </w:rPr>
            </w:r>
          </w:p>
        </w:tc>
      </w:tr>
      <w:tr>
        <w:trPr>
          <w:trHeight w:val="1650" w:hRule="atLeast"/>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tabs>
                <w:tab w:val="left" w:pos="-720" w:leader="none"/>
                <w:tab w:val="left" w:pos="0" w:leader="none"/>
                <w:tab w:val="left" w:pos="244" w:leader="none"/>
                <w:tab w:val="left" w:pos="489" w:leader="none"/>
                <w:tab w:val="left" w:pos="720"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Verdana" w:hAnsi="Verdana" w:cs="Verdana"/>
                <w:b/>
                <w:b/>
              </w:rPr>
            </w:pPr>
            <w:r>
              <w:rPr>
                <w:rFonts w:cs="Verdana" w:ascii="Verdana" w:hAnsi="Verdana"/>
                <w:b/>
              </w:rPr>
              <w:t>Job activities: Summary of Responsibilities and Key Areas:</w:t>
            </w:r>
          </w:p>
          <w:p>
            <w:pPr>
              <w:pStyle w:val="Normal"/>
              <w:tabs>
                <w:tab w:val="left" w:pos="-720" w:leader="none"/>
                <w:tab w:val="left" w:pos="0" w:leader="none"/>
                <w:tab w:val="left" w:pos="244" w:leader="none"/>
                <w:tab w:val="left" w:pos="489" w:leader="none"/>
                <w:tab w:val="left" w:pos="720"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Verdana" w:hAnsi="Verdana" w:cs="Verdana"/>
                <w:b/>
                <w:b/>
                <w:u w:val="single"/>
              </w:rPr>
            </w:pPr>
            <w:r>
              <w:rPr>
                <w:rFonts w:cs="Verdana" w:ascii="Verdana" w:hAnsi="Verdana"/>
                <w:b/>
                <w:u w:val="single"/>
              </w:rPr>
            </w:r>
          </w:p>
          <w:p>
            <w:pPr>
              <w:pStyle w:val="Default"/>
              <w:spacing w:before="0" w:after="105"/>
              <w:rPr>
                <w:rFonts w:ascii="Verdana" w:hAnsi="Verdana" w:cs="Verdana"/>
                <w:b/>
                <w:b/>
                <w:bCs/>
                <w:sz w:val="20"/>
                <w:szCs w:val="20"/>
              </w:rPr>
            </w:pPr>
            <w:r>
              <w:rPr>
                <w:rFonts w:cs="Verdana" w:ascii="Verdana" w:hAnsi="Verdana"/>
                <w:b/>
                <w:bCs/>
                <w:sz w:val="20"/>
                <w:szCs w:val="20"/>
              </w:rPr>
              <w:t xml:space="preserve">1.Set high expectations which inspire, motivate and challenge pupils </w:t>
            </w:r>
          </w:p>
          <w:p>
            <w:pPr>
              <w:pStyle w:val="Default"/>
              <w:spacing w:before="0" w:after="105"/>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establish a safe and stimulating environment for pupils, rooted in mutual respect; </w:t>
            </w:r>
          </w:p>
          <w:p>
            <w:pPr>
              <w:pStyle w:val="Default"/>
              <w:spacing w:before="0" w:after="105"/>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set goals that stretch and challenge pupils of all backgrounds, abilities and dispositions; </w:t>
            </w:r>
          </w:p>
          <w:p>
            <w:pPr>
              <w:pStyle w:val="Default"/>
              <w:spacing w:before="0" w:after="105"/>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demonstrate consistently the positive attitudes, values and behaviours which are expected of pupils all      </w:t>
            </w:r>
            <w:r>
              <w:rPr>
                <w:rFonts w:cs="Verdana" w:ascii="Verdana" w:hAnsi="Verdana"/>
                <w:color w:val="auto"/>
                <w:sz w:val="20"/>
                <w:szCs w:val="20"/>
              </w:rPr>
              <w:t>the time acting  personally and professionally with honesty and integrity;</w:t>
            </w:r>
            <w:r>
              <w:rPr>
                <w:rFonts w:cs="Verdana" w:ascii="Verdana" w:hAnsi="Verdana"/>
                <w:color w:val="FF0000"/>
                <w:sz w:val="20"/>
                <w:szCs w:val="20"/>
              </w:rPr>
              <w:t xml:space="preserve"> </w:t>
            </w:r>
          </w:p>
          <w:p>
            <w:pPr>
              <w:pStyle w:val="Default"/>
              <w:numPr>
                <w:ilvl w:val="0"/>
                <w:numId w:val="3"/>
              </w:numPr>
              <w:spacing w:before="0" w:after="105"/>
              <w:ind w:left="176" w:right="0" w:hanging="176"/>
              <w:rPr/>
            </w:pPr>
            <w:r>
              <w:rPr>
                <w:rFonts w:cs="Verdana" w:ascii="Verdana" w:hAnsi="Verdana"/>
                <w:color w:val="auto"/>
                <w:sz w:val="20"/>
                <w:szCs w:val="20"/>
              </w:rPr>
              <w:t xml:space="preserve">forge </w:t>
            </w:r>
            <w:r>
              <w:rPr>
                <w:rFonts w:cs="Verdana" w:ascii="Verdana" w:hAnsi="Verdana"/>
                <w:sz w:val="20"/>
                <w:szCs w:val="20"/>
              </w:rPr>
              <w:t>positive professional relationships with parents / guardians in the best interests of your pupils;</w:t>
            </w:r>
          </w:p>
          <w:p>
            <w:pPr>
              <w:pStyle w:val="Default"/>
              <w:spacing w:before="0" w:after="105"/>
              <w:rPr>
                <w:rFonts w:ascii="Verdana" w:hAnsi="Verdana" w:cs="Verdana"/>
                <w:sz w:val="20"/>
                <w:szCs w:val="20"/>
              </w:rPr>
            </w:pPr>
            <w:r>
              <w:rPr>
                <w:rFonts w:cs="Verdana" w:ascii="Verdana" w:hAnsi="Verdana"/>
                <w:sz w:val="20"/>
                <w:szCs w:val="20"/>
              </w:rPr>
            </w:r>
          </w:p>
          <w:p>
            <w:pPr>
              <w:pStyle w:val="Default"/>
              <w:spacing w:before="0" w:after="105"/>
              <w:rPr>
                <w:rFonts w:ascii="Verdana" w:hAnsi="Verdana" w:cs="Verdana"/>
                <w:b/>
                <w:b/>
                <w:bCs/>
                <w:sz w:val="20"/>
                <w:szCs w:val="20"/>
              </w:rPr>
            </w:pPr>
            <w:r>
              <w:rPr>
                <w:rFonts w:cs="Verdana" w:ascii="Verdana" w:hAnsi="Verdana"/>
                <w:b/>
                <w:bCs/>
                <w:sz w:val="20"/>
                <w:szCs w:val="20"/>
              </w:rPr>
              <w:t xml:space="preserve">2. Promote good progress and outcomes by pupils </w:t>
            </w:r>
          </w:p>
          <w:p>
            <w:pPr>
              <w:pStyle w:val="Default"/>
              <w:spacing w:before="0" w:after="105"/>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be accountable for pupils’ attainment, progress and outcomes;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color w:val="auto"/>
                <w:sz w:val="20"/>
                <w:szCs w:val="20"/>
              </w:rPr>
              <w:t xml:space="preserve">be </w:t>
            </w:r>
            <w:r>
              <w:rPr>
                <w:rFonts w:cs="Verdana" w:ascii="Verdana" w:hAnsi="Verdana"/>
                <w:sz w:val="20"/>
                <w:szCs w:val="20"/>
              </w:rPr>
              <w:t xml:space="preserve">aware of pupils’ capabilities and their prior knowledge, and plan teaching to build on these; </w:t>
            </w:r>
          </w:p>
          <w:p>
            <w:pPr>
              <w:pStyle w:val="Default"/>
              <w:spacing w:before="0" w:after="105"/>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guide pupils to reflect on the progress they have made and their emerging needs; </w:t>
            </w:r>
          </w:p>
          <w:p>
            <w:pPr>
              <w:pStyle w:val="Default"/>
              <w:spacing w:before="0" w:after="105"/>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demonstrate knowledge and understanding of how pupils learn and how this impacts on teaching; </w:t>
            </w:r>
          </w:p>
          <w:p>
            <w:pPr>
              <w:pStyle w:val="Default"/>
              <w:spacing w:before="0" w:after="105"/>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encourage pupils to take a responsible and conscientious attitude to their own work and study. </w:t>
            </w:r>
          </w:p>
          <w:p>
            <w:pPr>
              <w:pStyle w:val="Default"/>
              <w:numPr>
                <w:ilvl w:val="0"/>
                <w:numId w:val="3"/>
              </w:numPr>
              <w:spacing w:before="0" w:after="105"/>
              <w:ind w:left="176" w:right="0" w:hanging="176"/>
              <w:rPr>
                <w:rFonts w:ascii="Verdana" w:hAnsi="Verdana" w:cs="Verdana"/>
                <w:sz w:val="20"/>
              </w:rPr>
            </w:pPr>
            <w:r>
              <w:rPr>
                <w:rFonts w:cs="Verdana" w:ascii="Verdana" w:hAnsi="Verdana"/>
                <w:sz w:val="20"/>
              </w:rPr>
              <w:t>Develop and promote effective ways of overcoming children’s barriers to learning.</w:t>
            </w:r>
          </w:p>
          <w:p>
            <w:pPr>
              <w:pStyle w:val="Default"/>
              <w:spacing w:before="0" w:after="105"/>
              <w:rPr>
                <w:rFonts w:ascii="Verdana" w:hAnsi="Verdana" w:cs="Verdana"/>
                <w:sz w:val="20"/>
                <w:szCs w:val="20"/>
              </w:rPr>
            </w:pPr>
            <w:r>
              <w:rPr>
                <w:rFonts w:cs="Verdana" w:ascii="Verdana" w:hAnsi="Verdana"/>
                <w:sz w:val="20"/>
                <w:szCs w:val="20"/>
              </w:rPr>
            </w:r>
          </w:p>
          <w:p>
            <w:pPr>
              <w:pStyle w:val="Default"/>
              <w:rPr>
                <w:rFonts w:ascii="Verdana" w:hAnsi="Verdana" w:cs="Verdana"/>
                <w:b/>
                <w:b/>
                <w:bCs/>
                <w:sz w:val="20"/>
                <w:szCs w:val="20"/>
              </w:rPr>
            </w:pPr>
            <w:r>
              <w:rPr>
                <w:rFonts w:cs="Verdana" w:ascii="Verdana" w:hAnsi="Verdana"/>
                <w:b/>
                <w:bCs/>
                <w:sz w:val="20"/>
                <w:szCs w:val="20"/>
              </w:rPr>
              <w:t xml:space="preserve">3. Demonstrate good subject and curriculum knowledge </w:t>
            </w:r>
          </w:p>
          <w:p>
            <w:pPr>
              <w:pStyle w:val="Default"/>
              <w:rPr>
                <w:rFonts w:ascii="Verdana" w:hAnsi="Verdana" w:cs="Verdana"/>
                <w:sz w:val="20"/>
                <w:szCs w:val="20"/>
              </w:rPr>
            </w:pPr>
            <w:r>
              <w:rPr>
                <w:rFonts w:cs="Verdana" w:ascii="Verdana" w:hAnsi="Verdana"/>
                <w:sz w:val="20"/>
                <w:szCs w:val="20"/>
              </w:rPr>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demonstrate a secure knowledge of relevant subject(s) and curriculum areas;</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demonstrate a critical understanding of developments in subjects and curriculum areas, and promote the value of scholarship;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demonstrate an understanding of and take responsibility for promoting high standards of literacy, articulacy and the correct use of standard English, whatever your specialist subject;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if teaching early reading, demonstrate a clear understanding of systematic synthetic phonics;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if teaching early mathematics, demonstrate a clear understanding of appropriate teaching strategies. </w:t>
            </w:r>
          </w:p>
          <w:p>
            <w:pPr>
              <w:pStyle w:val="Default"/>
              <w:spacing w:before="0" w:after="118"/>
              <w:rPr>
                <w:rFonts w:ascii="Verdana" w:hAnsi="Verdana" w:cs="Verdana"/>
                <w:sz w:val="20"/>
                <w:szCs w:val="20"/>
              </w:rPr>
            </w:pPr>
            <w:r>
              <w:rPr>
                <w:rFonts w:cs="Verdana" w:ascii="Verdana" w:hAnsi="Verdana"/>
                <w:sz w:val="20"/>
                <w:szCs w:val="20"/>
              </w:rPr>
            </w:r>
          </w:p>
          <w:p>
            <w:pPr>
              <w:pStyle w:val="Default"/>
              <w:spacing w:before="0" w:after="118"/>
              <w:rPr>
                <w:rFonts w:ascii="Verdana" w:hAnsi="Verdana" w:cs="Verdana"/>
                <w:b/>
                <w:b/>
                <w:bCs/>
                <w:sz w:val="20"/>
                <w:szCs w:val="20"/>
              </w:rPr>
            </w:pPr>
            <w:r>
              <w:rPr>
                <w:rFonts w:cs="Verdana" w:ascii="Verdana" w:hAnsi="Verdana"/>
                <w:b/>
                <w:bCs/>
                <w:sz w:val="20"/>
                <w:szCs w:val="20"/>
              </w:rPr>
              <w:t xml:space="preserve">4. Plan and teach well-structured lessons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impart knowledge and develop understanding through effective use of lesson time;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promote a love of learning and children’s intellectual curiosity;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set homework and plan other out-of-class activities to consolidate and extend the knowledge and understanding pupils have acquired;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reflect systematically on the effectiveness of lessons and approaches to teaching;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contribute to the design and provision of an engaging curriculum within the relevant subject area(s) </w:t>
            </w:r>
            <w:r>
              <w:rPr>
                <w:rFonts w:cs="Verdana" w:ascii="Verdana" w:hAnsi="Verdana"/>
                <w:color w:val="auto"/>
                <w:sz w:val="20"/>
                <w:szCs w:val="20"/>
              </w:rPr>
              <w:t xml:space="preserve">fostering </w:t>
            </w:r>
            <w:r>
              <w:rPr>
                <w:rFonts w:cs="Verdana" w:ascii="Verdana" w:hAnsi="Verdana"/>
                <w:sz w:val="20"/>
                <w:szCs w:val="20"/>
              </w:rPr>
              <w:t xml:space="preserve">and maintaining pupils’ interest in subjects and addressing misunderstandings; </w:t>
            </w:r>
          </w:p>
          <w:p>
            <w:pPr>
              <w:pStyle w:val="Default"/>
              <w:spacing w:before="0" w:after="118"/>
              <w:rPr>
                <w:rFonts w:ascii="Verdana" w:hAnsi="Verdana" w:cs="Verdana"/>
                <w:sz w:val="20"/>
                <w:szCs w:val="20"/>
              </w:rPr>
            </w:pPr>
            <w:r>
              <w:rPr>
                <w:rFonts w:cs="Verdana" w:ascii="Verdana" w:hAnsi="Verdana"/>
                <w:sz w:val="20"/>
                <w:szCs w:val="20"/>
              </w:rPr>
            </w:r>
          </w:p>
          <w:p>
            <w:pPr>
              <w:pStyle w:val="Default"/>
              <w:spacing w:before="0" w:after="118"/>
              <w:rPr>
                <w:rFonts w:ascii="Verdana" w:hAnsi="Verdana" w:cs="Verdana"/>
                <w:b/>
                <w:b/>
                <w:bCs/>
                <w:sz w:val="20"/>
                <w:szCs w:val="20"/>
              </w:rPr>
            </w:pPr>
            <w:r>
              <w:rPr>
                <w:rFonts w:cs="Verdana" w:ascii="Verdana" w:hAnsi="Verdana"/>
                <w:b/>
                <w:bCs/>
                <w:sz w:val="20"/>
                <w:szCs w:val="20"/>
              </w:rPr>
              <w:t xml:space="preserve">5. Adapt teaching to respond to the strengths and needs of all pupils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know when and how to differentiate appropriately, using approaches which enable pupils to be taught effectively;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have a secure understanding of how a range of factors can inhibit pupils’ ability to learn, and how best to overcome these;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demonstrate an awareness of the physical, social and intellectual development of children, and know how to adapt teaching to support pupils’ education at different stages of development;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have a clear understanding of the needs of all your special educational needs pupils, including those with English as an additional language and those with disabilities.  Be able to use and evaluate distinctive teaching approaches to engage and support them. </w:t>
            </w:r>
          </w:p>
          <w:p>
            <w:pPr>
              <w:pStyle w:val="Default"/>
              <w:spacing w:before="0" w:after="118"/>
              <w:rPr>
                <w:rFonts w:ascii="Verdana" w:hAnsi="Verdana" w:cs="Verdana"/>
                <w:sz w:val="20"/>
                <w:szCs w:val="20"/>
              </w:rPr>
            </w:pPr>
            <w:r>
              <w:rPr>
                <w:rFonts w:cs="Verdana" w:ascii="Verdana" w:hAnsi="Verdana"/>
                <w:sz w:val="20"/>
                <w:szCs w:val="20"/>
              </w:rPr>
            </w:r>
          </w:p>
          <w:p>
            <w:pPr>
              <w:pStyle w:val="Default"/>
              <w:spacing w:before="0" w:after="118"/>
              <w:rPr>
                <w:rFonts w:ascii="Verdana" w:hAnsi="Verdana" w:cs="Verdana"/>
                <w:b/>
                <w:b/>
                <w:bCs/>
                <w:sz w:val="20"/>
                <w:szCs w:val="20"/>
              </w:rPr>
            </w:pPr>
            <w:r>
              <w:rPr>
                <w:rFonts w:cs="Verdana" w:ascii="Verdana" w:hAnsi="Verdana"/>
                <w:b/>
                <w:bCs/>
                <w:sz w:val="20"/>
                <w:szCs w:val="20"/>
              </w:rPr>
              <w:t xml:space="preserve">6. Make accurate and productive use of assessment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know and understand how to assess the relevant subject and curriculum areas, including statutory assessment requirements; </w:t>
            </w:r>
          </w:p>
          <w:p>
            <w:pPr>
              <w:pStyle w:val="Default"/>
              <w:spacing w:before="0" w:after="11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make use of formative and summative assessment to secure pupils’ progress and identify and record pupils’ progress linked to the pupils Education, Health Care Plan; </w:t>
            </w:r>
          </w:p>
          <w:p>
            <w:pPr>
              <w:pStyle w:val="Default"/>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maintain a focus through personalised learning on individual pupil progress in order to maximise all learners capacity and use relevant data to monitor progress, set targets and plan subsequent lessons; </w:t>
            </w:r>
          </w:p>
          <w:p>
            <w:pPr>
              <w:pStyle w:val="Default"/>
              <w:rPr>
                <w:rFonts w:ascii="Verdana" w:hAnsi="Verdana" w:cs="Verdana"/>
                <w:sz w:val="20"/>
                <w:szCs w:val="20"/>
              </w:rPr>
            </w:pPr>
            <w:r>
              <w:rPr>
                <w:rFonts w:cs="Verdana" w:ascii="Verdana" w:hAnsi="Verdana"/>
                <w:sz w:val="20"/>
                <w:szCs w:val="20"/>
              </w:rPr>
            </w:r>
          </w:p>
          <w:p>
            <w:pPr>
              <w:pStyle w:val="Default"/>
              <w:numPr>
                <w:ilvl w:val="0"/>
                <w:numId w:val="3"/>
              </w:numPr>
              <w:spacing w:before="0" w:after="100"/>
              <w:ind w:left="176" w:right="0" w:hanging="142"/>
              <w:rPr>
                <w:rFonts w:ascii="Verdana" w:hAnsi="Verdana" w:cs="Verdana"/>
                <w:sz w:val="20"/>
                <w:szCs w:val="20"/>
              </w:rPr>
            </w:pPr>
            <w:r>
              <w:rPr>
                <w:rFonts w:cs="Verdana" w:ascii="Verdana" w:hAnsi="Verdana"/>
                <w:sz w:val="20"/>
                <w:szCs w:val="20"/>
              </w:rPr>
              <w:t>give pupils regular feedback, both orally and through accurate marking and encourage pupils to respond to the feedback.</w:t>
            </w:r>
          </w:p>
          <w:p>
            <w:pPr>
              <w:pStyle w:val="Default"/>
              <w:numPr>
                <w:ilvl w:val="0"/>
                <w:numId w:val="3"/>
              </w:numPr>
              <w:spacing w:before="0" w:after="100"/>
              <w:ind w:left="176" w:right="0" w:hanging="142"/>
              <w:rPr>
                <w:rFonts w:ascii="Verdana" w:hAnsi="Verdana" w:cs="Verdana"/>
                <w:sz w:val="20"/>
                <w:szCs w:val="20"/>
              </w:rPr>
            </w:pPr>
            <w:r>
              <w:rPr>
                <w:rFonts w:cs="Verdana" w:ascii="Verdana" w:hAnsi="Verdana"/>
                <w:sz w:val="20"/>
                <w:szCs w:val="20"/>
              </w:rPr>
              <w:t>Maintain, over time, a range of evidence for pupil progress and achievement</w:t>
            </w:r>
          </w:p>
          <w:p>
            <w:pPr>
              <w:pStyle w:val="Default"/>
              <w:numPr>
                <w:ilvl w:val="0"/>
                <w:numId w:val="3"/>
              </w:numPr>
              <w:spacing w:before="0" w:after="100"/>
              <w:ind w:left="176" w:right="0" w:hanging="142"/>
              <w:rPr>
                <w:rFonts w:ascii="Verdana" w:hAnsi="Verdana" w:cs="Verdana"/>
                <w:sz w:val="20"/>
              </w:rPr>
            </w:pPr>
            <w:r>
              <w:rPr>
                <w:rFonts w:cs="Verdana" w:ascii="Verdana" w:hAnsi="Verdana"/>
                <w:sz w:val="20"/>
              </w:rPr>
              <w:t>Provide support in the continued development of assessment and effective target setting, within the Resourced Provision.</w:t>
            </w:r>
          </w:p>
          <w:p>
            <w:pPr>
              <w:pStyle w:val="Default"/>
              <w:spacing w:before="0" w:after="100"/>
              <w:ind w:left="34" w:right="0" w:hanging="0"/>
              <w:rPr>
                <w:rFonts w:ascii="Verdana" w:hAnsi="Verdana" w:cs="Verdana"/>
                <w:sz w:val="20"/>
                <w:szCs w:val="20"/>
              </w:rPr>
            </w:pPr>
            <w:r>
              <w:rPr>
                <w:rFonts w:cs="Verdana" w:ascii="Verdana" w:hAnsi="Verdana"/>
                <w:sz w:val="20"/>
                <w:szCs w:val="20"/>
              </w:rPr>
            </w:r>
          </w:p>
          <w:p>
            <w:pPr>
              <w:pStyle w:val="Default"/>
              <w:spacing w:before="0" w:after="100"/>
              <w:ind w:left="34" w:right="0" w:hanging="0"/>
              <w:rPr>
                <w:rFonts w:ascii="Verdana" w:hAnsi="Verdana" w:cs="Verdana"/>
                <w:sz w:val="20"/>
                <w:szCs w:val="20"/>
              </w:rPr>
            </w:pPr>
            <w:r>
              <w:rPr>
                <w:rFonts w:cs="Verdana" w:ascii="Verdana" w:hAnsi="Verdana"/>
                <w:sz w:val="20"/>
                <w:szCs w:val="20"/>
              </w:rPr>
            </w:r>
          </w:p>
          <w:p>
            <w:pPr>
              <w:pStyle w:val="Default"/>
              <w:spacing w:before="0" w:after="100"/>
              <w:rPr>
                <w:rFonts w:ascii="Verdana" w:hAnsi="Verdana" w:cs="Verdana"/>
                <w:b/>
                <w:b/>
                <w:bCs/>
                <w:sz w:val="20"/>
                <w:szCs w:val="20"/>
              </w:rPr>
            </w:pPr>
            <w:r>
              <w:rPr>
                <w:rFonts w:cs="Verdana" w:ascii="Verdana" w:hAnsi="Verdana"/>
                <w:b/>
                <w:bCs/>
                <w:sz w:val="20"/>
                <w:szCs w:val="20"/>
              </w:rPr>
              <w:t xml:space="preserve">7. Manage behaviour effectively to ensure a good and safe learning environment </w:t>
            </w:r>
          </w:p>
          <w:p>
            <w:pPr>
              <w:pStyle w:val="Default"/>
              <w:spacing w:before="0" w:after="100"/>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have clear rules and routines for behaviour in classrooms and take responsibility for promoting good and courteous behaviour both in classrooms and around the school in accordance with the school’s behaviour policy; </w:t>
            </w:r>
          </w:p>
          <w:p>
            <w:pPr>
              <w:pStyle w:val="Default"/>
              <w:spacing w:before="0" w:after="100"/>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have high expectations of behaviour and establish a framework for discipline with a range of strategies; use praise, sanctions and rewards consistently and fairly; </w:t>
            </w:r>
          </w:p>
          <w:p>
            <w:pPr>
              <w:pStyle w:val="Default"/>
              <w:spacing w:before="0" w:after="100"/>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manage classes effectively, using approaches which are appropriate to pupils’ needs in order to involve and motivate them; </w:t>
            </w:r>
          </w:p>
          <w:p>
            <w:pPr>
              <w:pStyle w:val="Default"/>
              <w:spacing w:before="0" w:after="100"/>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maintain good relationships with pupils; exercise appropriate authority and act decisively when necessary. </w:t>
            </w:r>
          </w:p>
          <w:p>
            <w:pPr>
              <w:pStyle w:val="Default"/>
              <w:spacing w:before="0" w:after="100"/>
              <w:rPr>
                <w:rFonts w:ascii="Verdana" w:hAnsi="Verdana" w:cs="Verdana"/>
                <w:sz w:val="20"/>
                <w:szCs w:val="20"/>
              </w:rPr>
            </w:pPr>
            <w:r>
              <w:rPr>
                <w:rFonts w:cs="Verdana" w:ascii="Verdana" w:hAnsi="Verdana"/>
                <w:sz w:val="20"/>
                <w:szCs w:val="20"/>
              </w:rPr>
            </w:r>
          </w:p>
          <w:p>
            <w:pPr>
              <w:pStyle w:val="Default"/>
              <w:spacing w:before="0" w:after="100"/>
              <w:rPr>
                <w:rFonts w:ascii="Verdana" w:hAnsi="Verdana" w:cs="Verdana"/>
                <w:b/>
                <w:b/>
                <w:bCs/>
                <w:sz w:val="20"/>
                <w:szCs w:val="20"/>
              </w:rPr>
            </w:pPr>
            <w:r>
              <w:rPr>
                <w:rFonts w:cs="Verdana" w:ascii="Verdana" w:hAnsi="Verdana"/>
                <w:b/>
                <w:bCs/>
                <w:sz w:val="20"/>
                <w:szCs w:val="20"/>
              </w:rPr>
              <w:t xml:space="preserve">8. Fulfil wider professional responsibilities </w:t>
            </w:r>
          </w:p>
          <w:p>
            <w:pPr>
              <w:pStyle w:val="Default"/>
              <w:spacing w:before="0" w:after="100"/>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make a positive contribution to the wider life and ethos of the school; </w:t>
            </w:r>
          </w:p>
          <w:p>
            <w:pPr>
              <w:pStyle w:val="Default"/>
              <w:spacing w:before="0" w:after="100"/>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develop effective professional relationships with colleagues, knowing how and when to draw on advice and specialist support; </w:t>
            </w:r>
          </w:p>
          <w:p>
            <w:pPr>
              <w:pStyle w:val="Default"/>
              <w:spacing w:before="0" w:after="100"/>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deploy support staff effectively; </w:t>
            </w:r>
          </w:p>
          <w:p>
            <w:pPr>
              <w:pStyle w:val="Default"/>
              <w:spacing w:before="0" w:after="100"/>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take responsibility for improving teaching through appropriate professional development, responding to advice and feedback from colleagues; </w:t>
            </w:r>
          </w:p>
          <w:p>
            <w:pPr>
              <w:pStyle w:val="Default"/>
              <w:spacing w:before="0" w:after="280"/>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Communicate effectively with parents / guardians with regard to pupils’ achievements and well-being;</w:t>
            </w:r>
          </w:p>
          <w:p>
            <w:pPr>
              <w:pStyle w:val="Default"/>
              <w:numPr>
                <w:ilvl w:val="0"/>
                <w:numId w:val="4"/>
              </w:numPr>
              <w:spacing w:before="0" w:after="0"/>
              <w:ind w:left="176" w:right="0" w:hanging="159"/>
              <w:rPr>
                <w:rFonts w:ascii="Verdana" w:hAnsi="Verdana" w:cs="Verdana"/>
                <w:sz w:val="20"/>
              </w:rPr>
            </w:pPr>
            <w:r>
              <w:rPr>
                <w:rFonts w:cs="Verdana" w:ascii="Verdana" w:hAnsi="Verdana"/>
                <w:sz w:val="20"/>
              </w:rPr>
              <w:t>Contribute to the management of a budget linked to effectively resourcing SEND provision;</w:t>
            </w:r>
          </w:p>
          <w:p>
            <w:pPr>
              <w:pStyle w:val="Normal"/>
              <w:numPr>
                <w:ilvl w:val="0"/>
                <w:numId w:val="4"/>
              </w:numPr>
              <w:spacing w:before="0" w:after="0"/>
              <w:ind w:left="176" w:right="0" w:hanging="159"/>
              <w:rPr>
                <w:rFonts w:ascii="Verdana" w:hAnsi="Verdana" w:cs="Verdana"/>
              </w:rPr>
            </w:pPr>
            <w:r>
              <w:rPr>
                <w:rFonts w:cs="Verdana" w:ascii="Verdana" w:hAnsi="Verdana"/>
              </w:rPr>
              <w:t>Provide guidance and support to staff members in pursuit of the best outcomes for our SEND children;</w:t>
            </w:r>
          </w:p>
          <w:p>
            <w:pPr>
              <w:pStyle w:val="Normal"/>
              <w:numPr>
                <w:ilvl w:val="0"/>
                <w:numId w:val="4"/>
              </w:numPr>
              <w:spacing w:before="0" w:after="0"/>
              <w:ind w:left="176" w:right="0" w:hanging="159"/>
              <w:rPr>
                <w:rFonts w:ascii="Verdana" w:hAnsi="Verdana" w:cs="Verdana"/>
              </w:rPr>
            </w:pPr>
            <w:r>
              <w:rPr>
                <w:rFonts w:cs="Verdana" w:ascii="Verdana" w:hAnsi="Verdana"/>
              </w:rPr>
              <w:t>Attend and contribute to regular network meetings;</w:t>
            </w:r>
          </w:p>
          <w:p>
            <w:pPr>
              <w:pStyle w:val="Normal"/>
              <w:numPr>
                <w:ilvl w:val="0"/>
                <w:numId w:val="4"/>
              </w:numPr>
              <w:spacing w:before="0" w:after="0"/>
              <w:ind w:left="176" w:right="0" w:hanging="159"/>
              <w:rPr>
                <w:rFonts w:ascii="Verdana" w:hAnsi="Verdana" w:cs="Verdana"/>
              </w:rPr>
            </w:pPr>
            <w:r>
              <w:rPr>
                <w:rFonts w:cs="Verdana" w:ascii="Verdana" w:hAnsi="Verdana"/>
              </w:rPr>
              <w:t>Contribute towards the professional development of staff within the Resourced Provision and wider school community, in order to promote excellent SEND practice;</w:t>
            </w:r>
          </w:p>
          <w:p>
            <w:pPr>
              <w:pStyle w:val="Normal"/>
              <w:numPr>
                <w:ilvl w:val="0"/>
                <w:numId w:val="4"/>
              </w:numPr>
              <w:spacing w:before="0" w:after="0"/>
              <w:ind w:left="176" w:right="0" w:hanging="159"/>
              <w:rPr>
                <w:rFonts w:ascii="Verdana" w:hAnsi="Verdana" w:cs="Verdana"/>
              </w:rPr>
            </w:pPr>
            <w:r>
              <w:rPr>
                <w:rFonts w:cs="Verdana" w:ascii="Verdana" w:hAnsi="Verdana"/>
              </w:rPr>
              <w:t>Work closely with the special needs team in order to develop Tithe Barn’s  Primary School’s SEND policy and to oversee the implementation of that policy;</w:t>
            </w:r>
          </w:p>
          <w:p>
            <w:pPr>
              <w:pStyle w:val="Normal"/>
              <w:numPr>
                <w:ilvl w:val="0"/>
                <w:numId w:val="4"/>
              </w:numPr>
              <w:spacing w:before="0" w:after="280"/>
              <w:ind w:left="176" w:right="0" w:hanging="159"/>
              <w:rPr>
                <w:rFonts w:ascii="Verdana" w:hAnsi="Verdana" w:cs="Verdana"/>
              </w:rPr>
            </w:pPr>
            <w:r>
              <w:rPr>
                <w:rFonts w:cs="Verdana" w:ascii="Verdana" w:hAnsi="Verdana"/>
              </w:rPr>
              <w:t>Support the implementation of SEND strategies, based upon Stockport’s Entitlement Framework, across the school.</w:t>
            </w:r>
          </w:p>
          <w:p>
            <w:pPr>
              <w:pStyle w:val="Normal"/>
              <w:rPr>
                <w:rFonts w:ascii="Verdana" w:hAnsi="Verdana" w:cs="Verdana"/>
              </w:rPr>
            </w:pPr>
            <w:r>
              <w:rPr>
                <w:rFonts w:cs="Verdana" w:ascii="Verdana" w:hAnsi="Verdana"/>
              </w:rPr>
            </w:r>
          </w:p>
          <w:p>
            <w:pPr>
              <w:pStyle w:val="Default"/>
              <w:rPr>
                <w:rFonts w:ascii="Verdana" w:hAnsi="Verdana" w:cs="Verdana"/>
                <w:b/>
                <w:b/>
                <w:bCs/>
                <w:sz w:val="20"/>
                <w:szCs w:val="20"/>
              </w:rPr>
            </w:pPr>
            <w:r>
              <w:rPr>
                <w:rFonts w:cs="Verdana" w:ascii="Verdana" w:hAnsi="Verdana"/>
                <w:b/>
                <w:bCs/>
                <w:sz w:val="20"/>
                <w:szCs w:val="20"/>
              </w:rPr>
              <w:t xml:space="preserve">9. Personal and Professional Conduct </w:t>
            </w:r>
          </w:p>
          <w:p>
            <w:pPr>
              <w:pStyle w:val="Default"/>
              <w:rPr>
                <w:rFonts w:ascii="Verdana" w:hAnsi="Verdana" w:cs="Verdana"/>
                <w:sz w:val="20"/>
                <w:szCs w:val="20"/>
              </w:rPr>
            </w:pPr>
            <w:r>
              <w:rPr>
                <w:rFonts w:cs="Verdana" w:ascii="Verdana" w:hAnsi="Verdana"/>
                <w:sz w:val="20"/>
                <w:szCs w:val="20"/>
              </w:rPr>
            </w:r>
          </w:p>
          <w:p>
            <w:pPr>
              <w:pStyle w:val="Default"/>
              <w:rPr>
                <w:rFonts w:ascii="Verdana" w:hAnsi="Verdana" w:cs="Verdana"/>
                <w:sz w:val="20"/>
                <w:szCs w:val="20"/>
              </w:rPr>
            </w:pPr>
            <w:r>
              <w:rPr>
                <w:rFonts w:cs="Verdana" w:ascii="Verdana" w:hAnsi="Verdana"/>
                <w:sz w:val="20"/>
                <w:szCs w:val="20"/>
              </w:rPr>
              <w:t xml:space="preserve">A teacher is expected to demonstrate consistently high standards of personal and professional conduct. The following statements define the behaviour and attitudes which set the required standard for conduct throughout a teacher’s career. </w:t>
            </w:r>
          </w:p>
          <w:p>
            <w:pPr>
              <w:pStyle w:val="Default"/>
              <w:rPr>
                <w:rFonts w:ascii="Verdana" w:hAnsi="Verdana" w:cs="Verdana"/>
                <w:sz w:val="20"/>
                <w:szCs w:val="20"/>
              </w:rPr>
            </w:pPr>
            <w:r>
              <w:rPr>
                <w:rFonts w:cs="Verdana" w:ascii="Verdana" w:hAnsi="Verdana"/>
                <w:sz w:val="20"/>
                <w:szCs w:val="20"/>
              </w:rPr>
            </w:r>
          </w:p>
          <w:p>
            <w:pPr>
              <w:pStyle w:val="Default"/>
              <w:spacing w:before="0" w:after="9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Teachers uphold public trust in the profession and maintain high standards of ethics and behaviour within and outside school by: </w:t>
            </w:r>
          </w:p>
          <w:p>
            <w:pPr>
              <w:pStyle w:val="Default"/>
              <w:numPr>
                <w:ilvl w:val="0"/>
                <w:numId w:val="2"/>
              </w:numPr>
              <w:spacing w:before="0" w:after="98"/>
              <w:rPr>
                <w:rFonts w:ascii="Verdana" w:hAnsi="Verdana" w:cs="Verdana"/>
                <w:sz w:val="20"/>
                <w:szCs w:val="20"/>
              </w:rPr>
            </w:pPr>
            <w:r>
              <w:rPr>
                <w:rFonts w:cs="Verdana" w:ascii="Verdana" w:hAnsi="Verdana"/>
                <w:sz w:val="20"/>
                <w:szCs w:val="20"/>
              </w:rPr>
              <w:t xml:space="preserve">treating pupils with dignity, building relationships rooted in mutual respect and at all times observing proper boundaries appropriate to a teacher’s professional position; </w:t>
            </w:r>
          </w:p>
          <w:p>
            <w:pPr>
              <w:pStyle w:val="Default"/>
              <w:numPr>
                <w:ilvl w:val="0"/>
                <w:numId w:val="2"/>
              </w:numPr>
              <w:spacing w:before="0" w:after="98"/>
              <w:rPr>
                <w:rFonts w:ascii="Verdana" w:hAnsi="Verdana" w:cs="Verdana"/>
                <w:sz w:val="20"/>
                <w:szCs w:val="20"/>
              </w:rPr>
            </w:pPr>
            <w:r>
              <w:rPr>
                <w:rFonts w:cs="Verdana" w:ascii="Verdana" w:hAnsi="Verdana"/>
                <w:sz w:val="20"/>
                <w:szCs w:val="20"/>
              </w:rPr>
              <w:t xml:space="preserve">having regard for the need to safeguard pupils’ well-being, in accordance with statutory provisions; </w:t>
            </w:r>
          </w:p>
          <w:p>
            <w:pPr>
              <w:pStyle w:val="Default"/>
              <w:numPr>
                <w:ilvl w:val="0"/>
                <w:numId w:val="2"/>
              </w:numPr>
              <w:rPr>
                <w:rFonts w:ascii="Verdana" w:hAnsi="Verdana" w:cs="Verdana"/>
                <w:sz w:val="20"/>
                <w:szCs w:val="20"/>
              </w:rPr>
            </w:pPr>
            <w:r>
              <w:rPr>
                <w:rFonts w:cs="Verdana" w:ascii="Verdana" w:hAnsi="Verdana"/>
                <w:sz w:val="20"/>
                <w:szCs w:val="20"/>
              </w:rPr>
              <w:t xml:space="preserve">showing tolerance of and respect for the rights of others; </w:t>
            </w:r>
          </w:p>
          <w:p>
            <w:pPr>
              <w:pStyle w:val="Default"/>
              <w:rPr>
                <w:rFonts w:ascii="Verdana" w:hAnsi="Verdana" w:cs="Verdana"/>
                <w:sz w:val="20"/>
                <w:szCs w:val="20"/>
              </w:rPr>
            </w:pPr>
            <w:r>
              <w:rPr>
                <w:rFonts w:cs="Verdana" w:ascii="Verdana" w:hAnsi="Verdana"/>
                <w:sz w:val="20"/>
                <w:szCs w:val="20"/>
              </w:rPr>
            </w:r>
          </w:p>
          <w:p>
            <w:pPr>
              <w:pStyle w:val="Default"/>
              <w:numPr>
                <w:ilvl w:val="0"/>
                <w:numId w:val="2"/>
              </w:numPr>
              <w:spacing w:before="0" w:after="98"/>
              <w:rPr>
                <w:rFonts w:ascii="Verdana" w:hAnsi="Verdana" w:cs="Verdana"/>
                <w:sz w:val="20"/>
                <w:szCs w:val="20"/>
              </w:rPr>
            </w:pPr>
            <w:r>
              <w:rPr>
                <w:rFonts w:cs="Verdana" w:ascii="Verdana" w:hAnsi="Verdana"/>
                <w:sz w:val="20"/>
                <w:szCs w:val="20"/>
              </w:rPr>
              <w:t xml:space="preserve">not undermining fundamental British values including democracy, the rule of law, individual liberty and mutual respect; promoting tolerance of those with different faiths and beliefs; </w:t>
            </w:r>
          </w:p>
          <w:p>
            <w:pPr>
              <w:pStyle w:val="Default"/>
              <w:numPr>
                <w:ilvl w:val="0"/>
                <w:numId w:val="2"/>
              </w:numPr>
              <w:spacing w:before="0" w:after="98"/>
              <w:rPr>
                <w:rFonts w:ascii="Verdana" w:hAnsi="Verdana" w:cs="Verdana"/>
                <w:sz w:val="20"/>
                <w:szCs w:val="20"/>
              </w:rPr>
            </w:pPr>
            <w:r>
              <w:rPr>
                <w:rFonts w:cs="Verdana" w:ascii="Verdana" w:hAnsi="Verdana"/>
                <w:sz w:val="20"/>
                <w:szCs w:val="20"/>
              </w:rPr>
              <w:t xml:space="preserve">ensuring that personal beliefs are not expressed in ways which exploit pupils’ vulnerability or might lead them to break the law. </w:t>
            </w:r>
          </w:p>
          <w:p>
            <w:pPr>
              <w:pStyle w:val="Default"/>
              <w:spacing w:before="0" w:after="98"/>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Teachers must have proper and professional regard for the ethos, policies and practices of the school in which they teach and maintain high standards in their own attendance and punctuality. </w:t>
            </w:r>
          </w:p>
          <w:p>
            <w:pPr>
              <w:pStyle w:val="Default"/>
              <w:rPr/>
            </w:pPr>
            <w:r>
              <w:rPr>
                <w:rFonts w:cs="Verdana" w:ascii="Verdana" w:hAnsi="Verdana"/>
                <w:sz w:val="20"/>
                <w:szCs w:val="20"/>
              </w:rPr>
              <w:t>•</w:t>
            </w:r>
            <w:r>
              <w:rPr>
                <w:rFonts w:eastAsia="Verdana" w:cs="Verdana" w:ascii="Verdana" w:hAnsi="Verdana"/>
                <w:sz w:val="20"/>
                <w:szCs w:val="20"/>
              </w:rPr>
              <w:t xml:space="preserve"> </w:t>
            </w:r>
            <w:r>
              <w:rPr>
                <w:rFonts w:cs="Verdana" w:ascii="Verdana" w:hAnsi="Verdana"/>
                <w:sz w:val="20"/>
                <w:szCs w:val="20"/>
              </w:rPr>
              <w:t xml:space="preserve">Teachers must have an understanding of, and always act within, the statutory frameworks which set out their professional duties and responsibilities. </w:t>
            </w:r>
          </w:p>
          <w:p>
            <w:pPr>
              <w:pStyle w:val="Normal"/>
              <w:rPr>
                <w:rFonts w:ascii="Verdana" w:hAnsi="Verdana" w:cs="Verdana"/>
              </w:rPr>
            </w:pPr>
            <w:r>
              <w:rPr>
                <w:rFonts w:cs="Verdana" w:ascii="Verdana" w:hAnsi="Verdana"/>
              </w:rPr>
            </w:r>
          </w:p>
          <w:p>
            <w:pPr>
              <w:pStyle w:val="Normal"/>
              <w:ind w:left="720" w:right="0" w:hanging="0"/>
              <w:jc w:val="both"/>
              <w:rPr>
                <w:rFonts w:ascii="Verdana" w:hAnsi="Verdana" w:cs="Verdana"/>
              </w:rPr>
            </w:pPr>
            <w:r>
              <w:rPr>
                <w:rFonts w:cs="Verdana" w:ascii="Verdana" w:hAnsi="Verdana"/>
              </w:rPr>
            </w:r>
          </w:p>
          <w:p>
            <w:pPr>
              <w:pStyle w:val="Normal"/>
              <w:ind w:left="720" w:right="0" w:hanging="0"/>
              <w:jc w:val="both"/>
              <w:rPr>
                <w:rFonts w:ascii="Verdana" w:hAnsi="Verdana" w:cs="Verdana"/>
              </w:rPr>
            </w:pPr>
            <w:r>
              <w:rPr>
                <w:rFonts w:cs="Verdana" w:ascii="Verdana" w:hAnsi="Verdana"/>
              </w:rPr>
            </w:r>
          </w:p>
          <w:p>
            <w:pPr>
              <w:pStyle w:val="Normal"/>
              <w:ind w:left="720" w:right="0" w:hanging="0"/>
              <w:jc w:val="both"/>
              <w:rPr>
                <w:rFonts w:ascii="Verdana" w:hAnsi="Verdana" w:cs="Verdana"/>
              </w:rPr>
            </w:pPr>
            <w:r>
              <w:rPr>
                <w:rFonts w:cs="Verdana" w:ascii="Verdana" w:hAnsi="Verdana"/>
              </w:rPr>
            </w:r>
          </w:p>
        </w:tc>
      </w:tr>
      <w:tr>
        <w:trPr/>
        <w:tc>
          <w:tcPr>
            <w:tcW w:w="11102" w:type="dxa"/>
            <w:tcBorders>
              <w:top w:val="single" w:sz="18" w:space="0" w:color="006666"/>
              <w:left w:val="single" w:sz="18" w:space="0" w:color="006666"/>
              <w:bottom w:val="single" w:sz="18" w:space="0" w:color="006666"/>
              <w:right w:val="single" w:sz="18" w:space="0" w:color="006666"/>
            </w:tcBorders>
            <w:shd w:fill="auto" w:val="clear"/>
          </w:tcPr>
          <w:p>
            <w:pPr>
              <w:pStyle w:val="Normal"/>
              <w:ind w:left="34" w:right="317" w:hanging="0"/>
              <w:jc w:val="both"/>
              <w:rPr>
                <w:rFonts w:ascii="Verdana" w:hAnsi="Verdana" w:cs="Verdana"/>
                <w:b/>
                <w:b/>
                <w:lang w:val="en-US"/>
              </w:rPr>
            </w:pPr>
            <w:r>
              <w:rPr>
                <w:rFonts w:cs="Verdana" w:ascii="Verdana" w:hAnsi="Verdana"/>
                <w:b/>
                <w:lang w:val="en-US"/>
              </w:rPr>
              <w:t>Additional Duties:</w:t>
            </w:r>
          </w:p>
          <w:p>
            <w:pPr>
              <w:pStyle w:val="Normal"/>
              <w:ind w:left="34" w:right="317" w:hanging="0"/>
              <w:jc w:val="both"/>
              <w:rPr>
                <w:rFonts w:ascii="Verdana" w:hAnsi="Verdana" w:cs="Verdana"/>
                <w:lang w:val="en-US"/>
              </w:rPr>
            </w:pPr>
            <w:r>
              <w:rPr>
                <w:rFonts w:cs="Verdana" w:ascii="Verdana" w:hAnsi="Verdana"/>
                <w:lang w:val="en-US"/>
              </w:rPr>
            </w:r>
          </w:p>
          <w:p>
            <w:pPr>
              <w:pStyle w:val="Normal"/>
              <w:ind w:left="34" w:right="317" w:hanging="0"/>
              <w:jc w:val="both"/>
              <w:rPr>
                <w:rFonts w:ascii="Verdana" w:hAnsi="Verdana" w:cs="Verdana"/>
                <w:lang w:val="en-US"/>
              </w:rPr>
            </w:pPr>
            <w:r>
              <w:rPr>
                <w:rFonts w:cs="Verdana" w:ascii="Verdana" w:hAnsi="Verdana"/>
                <w:lang w:val="en-US"/>
              </w:rPr>
              <w:t>Stockport Council is committed to safeguarding and promoting the welfare of children and young people and expects all staff within this area to share this commitment and to have understanding of the common core skills and knowledge:</w:t>
            </w:r>
          </w:p>
          <w:p>
            <w:pPr>
              <w:pStyle w:val="Level1"/>
              <w:jc w:val="both"/>
              <w:rPr>
                <w:rFonts w:ascii="Verdana" w:hAnsi="Verdana" w:cs="Verdana"/>
                <w:sz w:val="20"/>
              </w:rPr>
            </w:pPr>
            <w:r>
              <w:rPr>
                <w:rFonts w:cs="Verdana" w:ascii="Verdana" w:hAnsi="Verdana"/>
                <w:sz w:val="20"/>
              </w:rPr>
            </w:r>
          </w:p>
          <w:p>
            <w:pPr>
              <w:pStyle w:val="Level1"/>
              <w:jc w:val="both"/>
              <w:rPr>
                <w:rFonts w:ascii="Verdana" w:hAnsi="Verdana" w:cs="Verdana"/>
                <w:sz w:val="20"/>
              </w:rPr>
            </w:pPr>
            <w:r>
              <w:rPr>
                <w:rFonts w:cs="Verdana" w:ascii="Verdana" w:hAnsi="Verdana"/>
                <w:sz w:val="20"/>
              </w:rPr>
              <w:t>To work positively and inclusively with colleagues and customers so that the Council provides a workplace and delivers services that do not discriminate against people on the grounds of their age, sexuality, religion or belief, race, gender or disabilities.</w:t>
            </w:r>
          </w:p>
          <w:p>
            <w:pPr>
              <w:pStyle w:val="Level1"/>
              <w:jc w:val="both"/>
              <w:rPr>
                <w:rFonts w:ascii="Verdana" w:hAnsi="Verdana" w:cs="Verdana"/>
                <w:sz w:val="20"/>
              </w:rPr>
            </w:pPr>
            <w:r>
              <w:rPr>
                <w:rFonts w:cs="Verdana" w:ascii="Verdana" w:hAnsi="Verdana"/>
                <w:sz w:val="20"/>
              </w:rPr>
            </w:r>
          </w:p>
          <w:p>
            <w:pPr>
              <w:pStyle w:val="Level1"/>
              <w:jc w:val="both"/>
              <w:rPr>
                <w:rFonts w:ascii="Verdana" w:hAnsi="Verdana" w:cs="Verdana"/>
                <w:sz w:val="20"/>
              </w:rPr>
            </w:pPr>
            <w:r>
              <w:rPr>
                <w:rFonts w:cs="Verdana" w:ascii="Verdana" w:hAnsi="Verdana"/>
                <w:sz w:val="20"/>
              </w:rPr>
              <w:t>To fulfill personal requirements, where appropriate, with regard to Council policies and procedures as they relate to health, safety and welfare, customer care, emergency, evacuation, security and the promotion of the Council’s priorities.</w:t>
            </w:r>
          </w:p>
          <w:p>
            <w:pPr>
              <w:pStyle w:val="Level1"/>
              <w:jc w:val="both"/>
              <w:rPr>
                <w:rFonts w:ascii="Verdana" w:hAnsi="Verdana" w:cs="Verdana"/>
                <w:sz w:val="20"/>
              </w:rPr>
            </w:pPr>
            <w:r>
              <w:rPr>
                <w:rFonts w:cs="Verdana" w:ascii="Verdana" w:hAnsi="Verdana"/>
                <w:sz w:val="20"/>
              </w:rPr>
            </w:r>
          </w:p>
          <w:p>
            <w:pPr>
              <w:pStyle w:val="Normal"/>
              <w:jc w:val="both"/>
              <w:rPr>
                <w:rFonts w:ascii="Verdana" w:hAnsi="Verdana" w:cs="Verdana"/>
              </w:rPr>
            </w:pPr>
            <w:r>
              <w:rPr>
                <w:rFonts w:cs="Verdana" w:ascii="Verdana" w:hAnsi="Verdana"/>
              </w:rPr>
              <w:t>To work flexibly in the interests of the service. This may include undertaking other duties provided that these are appropriate to the employee’s background, skills and abilities. Where this occurs there will be consultation with the employee and any necessary personal development will be taken into account.</w:t>
            </w:r>
          </w:p>
          <w:p>
            <w:pPr>
              <w:pStyle w:val="Normal"/>
              <w:jc w:val="both"/>
              <w:rPr>
                <w:rFonts w:ascii="Verdana" w:hAnsi="Verdana" w:cs="Verdana"/>
              </w:rPr>
            </w:pPr>
            <w:r>
              <w:rPr>
                <w:rFonts w:cs="Verdana" w:ascii="Verdana" w:hAnsi="Verdana"/>
              </w:rPr>
            </w:r>
          </w:p>
        </w:tc>
      </w:tr>
    </w:tbl>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p>
      <w:pPr>
        <w:pStyle w:val="Normal"/>
        <w:rPr>
          <w:rFonts w:cs="Arial"/>
          <w:b/>
          <w:b/>
          <w:sz w:val="28"/>
          <w:szCs w:val="28"/>
          <w:lang w:eastAsia="en-GB"/>
        </w:rPr>
      </w:pPr>
      <w:r>
        <w:rPr>
          <w:rFonts w:cs="Arial"/>
          <w:b/>
          <w:sz w:val="28"/>
          <w:szCs w:val="28"/>
          <w:lang w:eastAsia="en-GB"/>
        </w:rPr>
      </w:r>
    </w:p>
    <w:sectPr>
      <w:footerReference w:type="default" r:id="rId4"/>
      <w:type w:val="nextPage"/>
      <w:pgSz w:w="11906" w:h="16838"/>
      <w:pgMar w:left="425" w:right="567" w:header="0" w:top="425" w:footer="313" w:bottom="370"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ourier New">
    <w:charset w:val="00"/>
    <w:family w:val="roman"/>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6">
              <wp:simplePos x="0" y="0"/>
              <wp:positionH relativeFrom="margin">
                <wp:align>center</wp:align>
              </wp:positionH>
              <wp:positionV relativeFrom="paragraph">
                <wp:posOffset>635</wp:posOffset>
              </wp:positionV>
              <wp:extent cx="63500" cy="146050"/>
              <wp:effectExtent l="0" t="0" r="0" b="0"/>
              <wp:wrapSquare wrapText="largest"/>
              <wp:docPr id="6" name="Frame2"/>
              <a:graphic xmlns:a="http://schemas.openxmlformats.org/drawingml/2006/main">
                <a:graphicData uri="http://schemas.microsoft.com/office/word/2010/wordprocessingShape">
                  <wps:wsp>
                    <wps:cNvSpPr txBox="1"/>
                    <wps:spPr>
                      <a:xfrm>
                        <a:off x="0" y="0"/>
                        <a:ext cx="63500" cy="14605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5pt;height:11.5pt;mso-wrap-distance-left:0pt;mso-wrap-distance-right:0pt;mso-wrap-distance-top:0pt;mso-wrap-distance-bottom:0pt;margin-top:0.05pt;mso-position-vertical-relative:text;margin-left:270.35pt;mso-position-horizontal:center;mso-position-horizontal-relative:margin">
              <v:fill opacity="0f"/>
              <v:textbox inset="0.000694444444444444in,0.000694444444444444in,0.000694444444444444in,0.000694444444444444in">
                <w:txbxContent>
                  <w:p>
                    <w:pPr>
                      <w:pStyle w:val="Footer"/>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4</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sz w:val="20"/>
        <w:szCs w:val="20"/>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0"/>
        <w:szCs w:val="20"/>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0"/>
        <w:szCs w:val="20"/>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2">
    <w:name w:val="Heading 2"/>
    <w:basedOn w:val="Normal"/>
    <w:next w:val="Normal"/>
    <w:qFormat/>
    <w:pPr>
      <w:keepNext w:val="true"/>
      <w:numPr>
        <w:ilvl w:val="1"/>
        <w:numId w:val="1"/>
      </w:numPr>
      <w:jc w:val="both"/>
      <w:outlineLvl w:val="1"/>
    </w:pPr>
    <w:rPr>
      <w:rFonts w:ascii="Times;Times New Roman" w:hAnsi="Times;Times New Roman" w:cs="Times;Times New Roman"/>
      <w:sz w:val="24"/>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sz w:val="20"/>
      <w:szCs w:val="2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rFonts w:ascii="Arial" w:hAnsi="Arial" w:cs="Arial"/>
      <w:b/>
      <w:sz w:val="32"/>
      <w:u w:val="single"/>
    </w:rPr>
  </w:style>
  <w:style w:type="paragraph" w:styleId="Level1">
    <w:name w:val="Level 1"/>
    <w:qFormat/>
    <w:pPr>
      <w:widowControl w:val="false"/>
      <w:suppressAutoHyphens w:val="true"/>
      <w:bidi w:val="0"/>
      <w:spacing w:before="0" w:after="0"/>
      <w:jc w:val="left"/>
    </w:pPr>
    <w:rPr>
      <w:rFonts w:ascii="Times New Roman" w:hAnsi="Times New Roman" w:eastAsia="Times New Roman" w:cs="Times New Roman"/>
      <w:color w:val="auto"/>
      <w:kern w:val="0"/>
      <w:sz w:val="24"/>
      <w:szCs w:val="20"/>
      <w:lang w:val="en-US" w:eastAsia="en-US" w:bidi="ar-SA"/>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153" w:leader="none"/>
        <w:tab w:val="right" w:pos="8306" w:leader="none"/>
      </w:tabs>
    </w:pPr>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en-GB" w:bidi="ar-SA"/>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Stockport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2026-04-30T05:44:00Z</dcterms:created>
  <dc:creator>anna.ruscoe</dc:creator>
  <dc:description/>
  <dc:language>en-US</dc:language>
  <cp:lastModifiedBy>Shaloma Darbyshire</cp:lastModifiedBy>
  <cp:lastPrinted>1995-11-21T17:41:00Z</cp:lastPrinted>
  <dcterms:modified xsi:type="dcterms:W3CDTF">2026-04-30T05:44:00Z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Stockport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