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b/>
          <w:b/>
          <w:sz w:val="28"/>
          <w:szCs w:val="28"/>
          <w:lang w:eastAsia="en-GB"/>
        </w:rPr>
      </w:pPr>
      <w:r>
        <w:rPr>
          <w:rFonts w:cs="Arial"/>
          <w:b/>
          <w:sz w:val="28"/>
          <w:szCs w:val="28"/>
          <w:lang w:eastAsia="en-GB"/>
        </w:rPr>
      </w:r>
    </w:p>
    <w:p>
      <w:pPr>
        <w:pStyle w:val="Normal"/>
        <w:rPr>
          <w:rFonts w:ascii="Verdana" w:hAnsi="Verdana" w:cs="Verdana"/>
          <w:sz w:val="18"/>
          <w:szCs w:val="18"/>
        </w:rPr>
      </w:pPr>
      <w:r>
        <w:rPr/>
        <w:drawing>
          <wp:inline distT="0" distB="0" distL="0" distR="0">
            <wp:extent cx="713105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5" t="-35" r="-5" b="-35"/>
                    <a:stretch>
                      <a:fillRect/>
                    </a:stretch>
                  </pic:blipFill>
                  <pic:spPr bwMode="auto">
                    <a:xfrm>
                      <a:off x="0" y="0"/>
                      <a:ext cx="7131050" cy="1019175"/>
                    </a:xfrm>
                    <a:prstGeom prst="rect">
                      <a:avLst/>
                    </a:prstGeom>
                  </pic:spPr>
                </pic:pic>
              </a:graphicData>
            </a:graphic>
          </wp:inline>
        </w:drawing>
      </w:r>
    </w:p>
    <w:p>
      <w:pPr>
        <w:pStyle w:val="Normal"/>
        <w:rPr>
          <w:rFonts w:ascii="Verdana" w:hAnsi="Verdana" w:cs="Verdana"/>
          <w:sz w:val="18"/>
          <w:szCs w:val="18"/>
        </w:rPr>
      </w:pPr>
      <w:r>
        <w:rPr>
          <w:rFonts w:cs="Verdana" w:ascii="Verdana" w:hAnsi="Verdana"/>
          <w:sz w:val="18"/>
          <w:szCs w:val="18"/>
        </w:rPr>
      </w:r>
    </w:p>
    <w:p>
      <w:pPr>
        <w:pStyle w:val="Normal"/>
        <w:jc w:val="center"/>
        <w:rPr>
          <w:rFonts w:ascii="Arial" w:hAnsi="Arial" w:cs="Arial"/>
          <w:b/>
          <w:b/>
          <w:sz w:val="24"/>
        </w:rPr>
      </w:pPr>
      <w:r>
        <w:rPr>
          <w:rFonts w:cs="Arial" w:ascii="Arial" w:hAnsi="Arial"/>
          <w:b/>
          <w:sz w:val="24"/>
        </w:rPr>
        <w:t>Stockport Council</w:t>
      </w:r>
    </w:p>
    <w:p>
      <w:pPr>
        <w:pStyle w:val="Normal"/>
        <w:jc w:val="center"/>
        <w:rPr>
          <w:rFonts w:ascii="Arial" w:hAnsi="Arial" w:cs="Arial"/>
          <w:b/>
          <w:b/>
          <w:sz w:val="24"/>
        </w:rPr>
      </w:pPr>
      <w:r>
        <w:rPr>
          <w:rFonts w:cs="Arial" w:ascii="Arial" w:hAnsi="Arial"/>
          <w:b/>
          <w:sz w:val="24"/>
        </w:rPr>
        <w:t>Competency Person Specification</w:t>
      </w:r>
    </w:p>
    <w:p>
      <w:pPr>
        <w:pStyle w:val="Normal"/>
        <w:jc w:val="center"/>
        <w:rPr>
          <w:rFonts w:ascii="Arial" w:hAnsi="Arial" w:cs="Arial"/>
          <w:b/>
          <w:b/>
          <w:sz w:val="18"/>
          <w:szCs w:val="18"/>
        </w:rPr>
      </w:pPr>
      <w:r>
        <w:rPr>
          <w:rFonts w:cs="Arial" w:ascii="Arial" w:hAnsi="Arial"/>
          <w:b/>
          <w:sz w:val="18"/>
          <w:szCs w:val="18"/>
        </w:rPr>
      </w:r>
    </w:p>
    <w:p>
      <w:pPr>
        <w:pStyle w:val="Normal"/>
        <w:tabs>
          <w:tab w:val="left" w:pos="720" w:leader="none"/>
          <w:tab w:val="left" w:pos="1440" w:leader="none"/>
          <w:tab w:val="left" w:pos="2160" w:leader="none"/>
          <w:tab w:val="left" w:pos="2880" w:leader="none"/>
          <w:tab w:val="left" w:pos="6570" w:leader="none"/>
        </w:tabs>
        <w:rPr/>
      </w:pPr>
      <w:r>
        <w:rPr>
          <w:rFonts w:eastAsia="Arial" w:cs="Arial" w:ascii="Arial" w:hAnsi="Arial"/>
          <w:sz w:val="22"/>
          <w:szCs w:val="22"/>
        </w:rPr>
        <w:t xml:space="preserve"> </w:t>
      </w:r>
      <w:r>
        <w:rPr>
          <w:rFonts w:cs="Arial" w:ascii="Arial" w:hAnsi="Arial"/>
          <w:b/>
          <w:sz w:val="22"/>
          <w:szCs w:val="22"/>
        </w:rPr>
        <w:t>Post Title</w:t>
      </w:r>
      <w:r>
        <w:rPr>
          <w:rFonts w:cs="Arial" w:ascii="Arial" w:hAnsi="Arial"/>
          <w:sz w:val="22"/>
          <w:szCs w:val="22"/>
        </w:rPr>
        <w:t xml:space="preserve">: </w:t>
      </w:r>
      <w:r>
        <w:rPr>
          <w:rFonts w:cs="Arial" w:ascii="Arial" w:hAnsi="Arial"/>
        </w:rPr>
        <w:t>Teacher with TLR 2 payment (SENDCo - Primary)</w:t>
      </w:r>
    </w:p>
    <w:p>
      <w:pPr>
        <w:pStyle w:val="Normal"/>
        <w:tabs>
          <w:tab w:val="left" w:pos="720" w:leader="none"/>
          <w:tab w:val="left" w:pos="1440" w:leader="none"/>
          <w:tab w:val="left" w:pos="2160" w:leader="none"/>
          <w:tab w:val="left" w:pos="2880" w:leader="none"/>
          <w:tab w:val="left" w:pos="6570" w:leader="none"/>
        </w:tabs>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rPr>
        <w:t xml:space="preserve">The criteria listed below represent the most important skills, experience, technical expertise and qualifications needed for this job role.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Your application will be assessed against these criteria to determine whether or not you are shortlisted for interview.  Any interview questions or additional assessments (tests, presentations etc.) will be broadly based on the criteria below.</w:t>
      </w:r>
    </w:p>
    <w:p>
      <w:pPr>
        <w:pStyle w:val="Normal"/>
        <w:rPr>
          <w:rFonts w:ascii="Arial" w:hAnsi="Arial" w:cs="Arial"/>
        </w:rPr>
      </w:pPr>
      <w:r>
        <w:rPr>
          <w:rFonts w:cs="Arial" w:ascii="Arial" w:hAnsi="Arial"/>
        </w:rPr>
      </w:r>
    </w:p>
    <w:tbl>
      <w:tblPr>
        <w:tblW w:w="10953" w:type="dxa"/>
        <w:jc w:val="left"/>
        <w:tblInd w:w="103" w:type="dxa"/>
        <w:tblCellMar>
          <w:top w:w="0" w:type="dxa"/>
          <w:left w:w="108" w:type="dxa"/>
          <w:bottom w:w="0" w:type="dxa"/>
          <w:right w:w="108" w:type="dxa"/>
        </w:tblCellMar>
      </w:tblPr>
      <w:tblGrid>
        <w:gridCol w:w="6662"/>
        <w:gridCol w:w="567"/>
        <w:gridCol w:w="567"/>
        <w:gridCol w:w="567"/>
        <w:gridCol w:w="567"/>
        <w:gridCol w:w="568"/>
        <w:gridCol w:w="1455"/>
      </w:tblGrid>
      <w:tr>
        <w:trPr>
          <w:trHeight w:val="550" w:hRule="atLeast"/>
        </w:trPr>
        <w:tc>
          <w:tcPr>
            <w:tcW w:w="6662" w:type="dxa"/>
            <w:vMerge w:val="restart"/>
            <w:tcBorders>
              <w:top w:val="single" w:sz="4" w:space="0" w:color="000000"/>
              <w:left w:val="single" w:sz="4" w:space="0" w:color="000000"/>
              <w:bottom w:val="single" w:sz="4" w:space="0" w:color="000000"/>
            </w:tcBorders>
            <w:shd w:fill="auto" w:val="clear"/>
          </w:tcPr>
          <w:p>
            <w:pPr>
              <w:pStyle w:val="Normal"/>
              <w:rPr>
                <w:rFonts w:ascii="Arial" w:hAnsi="Arial" w:cs="Arial"/>
                <w:b/>
                <w:b/>
              </w:rPr>
            </w:pPr>
            <w:r>
              <w:rPr>
                <w:rFonts w:cs="Arial" w:ascii="Arial" w:hAnsi="Arial"/>
                <w:b/>
              </w:rPr>
              <w:t>Competency</w:t>
            </w:r>
          </w:p>
        </w:tc>
        <w:tc>
          <w:tcPr>
            <w:tcW w:w="2836" w:type="dxa"/>
            <w:gridSpan w:val="5"/>
            <w:tcBorders>
              <w:top w:val="single" w:sz="4" w:space="0" w:color="000000"/>
              <w:left w:val="single" w:sz="4" w:space="0" w:color="000000"/>
              <w:bottom w:val="single" w:sz="4" w:space="0" w:color="000000"/>
            </w:tcBorders>
            <w:shd w:fill="auto" w:val="clear"/>
          </w:tcPr>
          <w:p>
            <w:pPr>
              <w:pStyle w:val="Normal"/>
              <w:rPr>
                <w:rFonts w:ascii="Arial" w:hAnsi="Arial" w:cs="Arial"/>
                <w:b/>
                <w:b/>
              </w:rPr>
            </w:pPr>
            <w:r>
              <w:rPr>
                <w:rFonts w:cs="Arial" w:ascii="Arial" w:hAnsi="Arial"/>
                <w:b/>
              </w:rPr>
              <w:t>SCORE</w:t>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b/>
                <w:b/>
              </w:rPr>
            </w:pPr>
            <w:r>
              <w:rPr>
                <w:rFonts w:cs="Arial" w:ascii="Arial" w:hAnsi="Arial"/>
                <w:b/>
              </w:rPr>
              <w:t>Essential or Desirable</w:t>
            </w:r>
          </w:p>
        </w:tc>
      </w:tr>
      <w:tr>
        <w:trPr>
          <w:trHeight w:val="315" w:hRule="atLeast"/>
        </w:trPr>
        <w:tc>
          <w:tcPr>
            <w:tcW w:w="6662" w:type="dxa"/>
            <w:vMerge w:val="continue"/>
            <w:tcBorders>
              <w:top w:val="single" w:sz="4" w:space="0" w:color="000000"/>
              <w:left w:val="single" w:sz="4" w:space="0" w:color="000000"/>
              <w:bottom w:val="single" w:sz="4" w:space="0" w:color="000000"/>
            </w:tcBorders>
            <w:shd w:fill="auto" w:val="clear"/>
          </w:tcPr>
          <w:p>
            <w:pPr>
              <w:pStyle w:val="Normal"/>
              <w:snapToGrid w:val="false"/>
              <w:rPr>
                <w:rFonts w:ascii="Arial" w:hAnsi="Arial" w:cs="Arial"/>
                <w:b/>
                <w:b/>
              </w:rPr>
            </w:pPr>
            <w:r>
              <w:rPr>
                <w:rFonts w:cs="Arial" w:ascii="Arial" w:hAnsi="Arial"/>
                <w:b/>
              </w:rPr>
            </w:r>
          </w:p>
        </w:tc>
        <w:tc>
          <w:tcPr>
            <w:tcW w:w="567" w:type="dxa"/>
            <w:tcBorders>
              <w:top w:val="single" w:sz="4" w:space="0" w:color="000000"/>
              <w:left w:val="single" w:sz="4" w:space="0" w:color="000000"/>
              <w:bottom w:val="single" w:sz="4" w:space="0" w:color="000000"/>
            </w:tcBorders>
            <w:shd w:fill="auto" w:val="clear"/>
          </w:tcPr>
          <w:p>
            <w:pPr>
              <w:pStyle w:val="Normal"/>
              <w:rPr>
                <w:rFonts w:ascii="Arial" w:hAnsi="Arial" w:cs="Arial"/>
                <w:b/>
                <w:b/>
              </w:rPr>
            </w:pPr>
            <w:r>
              <w:rPr>
                <w:rFonts w:cs="Arial" w:ascii="Arial" w:hAnsi="Arial"/>
                <w:b/>
              </w:rPr>
              <w:t>0</w:t>
            </w:r>
          </w:p>
        </w:tc>
        <w:tc>
          <w:tcPr>
            <w:tcW w:w="567" w:type="dxa"/>
            <w:tcBorders>
              <w:top w:val="single" w:sz="4" w:space="0" w:color="000000"/>
              <w:left w:val="single" w:sz="4" w:space="0" w:color="000000"/>
              <w:bottom w:val="single" w:sz="4" w:space="0" w:color="000000"/>
            </w:tcBorders>
            <w:shd w:fill="auto" w:val="clear"/>
          </w:tcPr>
          <w:p>
            <w:pPr>
              <w:pStyle w:val="Normal"/>
              <w:rPr>
                <w:rFonts w:ascii="Arial" w:hAnsi="Arial" w:cs="Arial"/>
                <w:b/>
                <w:b/>
              </w:rPr>
            </w:pPr>
            <w:r>
              <w:rPr>
                <w:rFonts w:cs="Arial" w:ascii="Arial" w:hAnsi="Arial"/>
                <w:b/>
              </w:rPr>
              <w:t>1</w:t>
            </w:r>
          </w:p>
        </w:tc>
        <w:tc>
          <w:tcPr>
            <w:tcW w:w="567" w:type="dxa"/>
            <w:tcBorders>
              <w:top w:val="single" w:sz="4" w:space="0" w:color="000000"/>
              <w:left w:val="single" w:sz="4" w:space="0" w:color="000000"/>
              <w:bottom w:val="single" w:sz="4" w:space="0" w:color="000000"/>
            </w:tcBorders>
            <w:shd w:fill="auto" w:val="clear"/>
          </w:tcPr>
          <w:p>
            <w:pPr>
              <w:pStyle w:val="Normal"/>
              <w:rPr>
                <w:rFonts w:ascii="Arial" w:hAnsi="Arial" w:cs="Arial"/>
                <w:b/>
                <w:b/>
              </w:rPr>
            </w:pPr>
            <w:r>
              <w:rPr>
                <w:rFonts w:cs="Arial" w:ascii="Arial" w:hAnsi="Arial"/>
                <w:b/>
              </w:rPr>
              <w:t>2</w:t>
            </w:r>
          </w:p>
        </w:tc>
        <w:tc>
          <w:tcPr>
            <w:tcW w:w="567" w:type="dxa"/>
            <w:tcBorders>
              <w:top w:val="single" w:sz="4" w:space="0" w:color="000000"/>
              <w:left w:val="single" w:sz="4" w:space="0" w:color="000000"/>
              <w:bottom w:val="single" w:sz="4" w:space="0" w:color="000000"/>
            </w:tcBorders>
            <w:shd w:fill="auto" w:val="clear"/>
          </w:tcPr>
          <w:p>
            <w:pPr>
              <w:pStyle w:val="Normal"/>
              <w:rPr>
                <w:rFonts w:ascii="Arial" w:hAnsi="Arial" w:cs="Arial"/>
                <w:b/>
                <w:b/>
              </w:rPr>
            </w:pPr>
            <w:r>
              <w:rPr>
                <w:rFonts w:cs="Arial" w:ascii="Arial" w:hAnsi="Arial"/>
                <w:b/>
              </w:rPr>
              <w:t>3</w:t>
            </w:r>
          </w:p>
        </w:tc>
        <w:tc>
          <w:tcPr>
            <w:tcW w:w="568" w:type="dxa"/>
            <w:tcBorders>
              <w:top w:val="single" w:sz="4" w:space="0" w:color="000000"/>
              <w:left w:val="single" w:sz="4" w:space="0" w:color="000000"/>
              <w:bottom w:val="single" w:sz="4" w:space="0" w:color="000000"/>
            </w:tcBorders>
            <w:shd w:fill="auto" w:val="clear"/>
          </w:tcPr>
          <w:p>
            <w:pPr>
              <w:pStyle w:val="Normal"/>
              <w:rPr>
                <w:rFonts w:ascii="Arial" w:hAnsi="Arial" w:cs="Arial"/>
                <w:b/>
                <w:b/>
              </w:rPr>
            </w:pPr>
            <w:r>
              <w:rPr>
                <w:rFonts w:cs="Arial" w:ascii="Arial" w:hAnsi="Arial"/>
                <w:b/>
              </w:rPr>
              <w:t>4</w:t>
            </w:r>
          </w:p>
        </w:tc>
        <w:tc>
          <w:tcPr>
            <w:tcW w:w="145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rPr>
                <w:rFonts w:ascii="Arial" w:hAnsi="Arial" w:cs="Arial"/>
                <w:b/>
                <w:b/>
              </w:rPr>
            </w:pPr>
            <w:r>
              <w:rPr>
                <w:rFonts w:cs="Arial" w:ascii="Arial" w:hAnsi="Arial"/>
                <w:b/>
              </w:rPr>
            </w:r>
          </w:p>
        </w:tc>
      </w:tr>
      <w:tr>
        <w:trPr>
          <w:trHeight w:val="420" w:hRule="atLeast"/>
        </w:trPr>
        <w:tc>
          <w:tcPr>
            <w:tcW w:w="10953"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rPr>
            </w:pPr>
            <w:r>
              <w:rPr>
                <w:rFonts w:cs="Arial" w:ascii="Arial" w:hAnsi="Arial"/>
                <w:b/>
              </w:rPr>
              <w:t>Knowledge</w:t>
            </w:r>
          </w:p>
        </w:tc>
      </w:tr>
      <w:tr>
        <w:trPr>
          <w:trHeight w:val="417"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Knowledge and understanding of how to develop and adapt teaching to meet the needs of all pupils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17"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Knowledge and understanding of the National Curriculum and key stages at primary phase</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392"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Knowledge of current issues in education</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392"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Knowledge and understanding of high-quality teaching and targeted support strategies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392"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A commitment to equal opportunities and knowledge of how to promote and address diverse cultural and equality issues in the classroom</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392"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Knowledge of the SEND Code of Practice and relevant legislation</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392"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 xml:space="preserve">Knowledge and understanding of child protection and safeguarding </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392"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Knowledge of strategies to improve teaching and learning</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337" w:hRule="atLeast"/>
        </w:trPr>
        <w:tc>
          <w:tcPr>
            <w:tcW w:w="10953"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Experience</w:t>
            </w:r>
          </w:p>
        </w:tc>
      </w:tr>
      <w:tr>
        <w:trPr>
          <w:trHeight w:val="529"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Experience of working with other agencies to identify and support individual pupils’ special needs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529"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jc w:val="both"/>
              <w:rPr>
                <w:rFonts w:ascii="Arial" w:hAnsi="Arial" w:cs="Arial"/>
              </w:rPr>
            </w:pPr>
            <w:r>
              <w:rPr>
                <w:rFonts w:cs="Arial" w:ascii="Arial" w:hAnsi="Arial"/>
              </w:rPr>
              <w:t xml:space="preserve">Experience of leading an area of responsibility </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jc w:val="both"/>
              <w:rPr>
                <w:rFonts w:ascii="Arial" w:hAnsi="Arial" w:cs="Arial"/>
              </w:rPr>
            </w:pPr>
            <w:r>
              <w:rPr>
                <w:rFonts w:cs="Arial" w:ascii="Arial" w:hAnsi="Arial"/>
              </w:rPr>
              <w:t>Experience of leading and managing others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Desirable</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jc w:val="both"/>
              <w:rPr>
                <w:rFonts w:ascii="Arial" w:hAnsi="Arial" w:cs="Arial"/>
              </w:rPr>
            </w:pPr>
            <w:r>
              <w:rPr>
                <w:rFonts w:cs="Arial" w:ascii="Arial" w:hAnsi="Arial"/>
              </w:rPr>
              <w:t xml:space="preserve">Track record of raising educational standards for all </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Experience of identifying, providing, monitoring and evaluating teaching strategies for pupils with known barriers to learning</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58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Experience of assessing and recording the progress of pupils’ learning to inform next steps and to monitor progress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553"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Experience of working effectively with parents/carers and the wider community</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361"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Experience of leading training/staff development opportunities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bl>
    <w:p>
      <w:pPr>
        <w:pStyle w:val="Normal"/>
        <w:rPr/>
      </w:pPr>
      <w:r>
        <w:rPr/>
      </w:r>
    </w:p>
    <w:tbl>
      <w:tblPr>
        <w:tblW w:w="10953" w:type="dxa"/>
        <w:jc w:val="left"/>
        <w:tblInd w:w="103" w:type="dxa"/>
        <w:tblCellMar>
          <w:top w:w="0" w:type="dxa"/>
          <w:left w:w="108" w:type="dxa"/>
          <w:bottom w:w="0" w:type="dxa"/>
          <w:right w:w="108" w:type="dxa"/>
        </w:tblCellMar>
      </w:tblPr>
      <w:tblGrid>
        <w:gridCol w:w="6662"/>
        <w:gridCol w:w="567"/>
        <w:gridCol w:w="567"/>
        <w:gridCol w:w="567"/>
        <w:gridCol w:w="567"/>
        <w:gridCol w:w="568"/>
        <w:gridCol w:w="1455"/>
      </w:tblGrid>
      <w:tr>
        <w:trPr>
          <w:trHeight w:val="427" w:hRule="atLeast"/>
        </w:trPr>
        <w:tc>
          <w:tcPr>
            <w:tcW w:w="10953"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Skills</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Evidence of leading effective curriculum development within a subject area to secure improvement across the whole school</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A clear understanding of the factors which may lead to challenging behaviour and how to successfully support pupils in line with the school’s behaviour policy</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p>
            <w:pPr>
              <w:pStyle w:val="Normal"/>
              <w:spacing w:before="144" w:after="144"/>
              <w:rPr>
                <w:rFonts w:ascii="Arial" w:hAnsi="Arial" w:cs="Arial"/>
                <w:b/>
                <w:b/>
              </w:rPr>
            </w:pPr>
            <w:r>
              <w:rPr>
                <w:rFonts w:cs="Arial" w:ascii="Arial" w:hAnsi="Arial"/>
                <w:b/>
              </w:rPr>
            </w:r>
          </w:p>
        </w:tc>
      </w:tr>
      <w:tr>
        <w:trPr>
          <w:trHeight w:val="643"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 w:val="left" w:pos="5595" w:leader="none"/>
              </w:tabs>
              <w:spacing w:before="144" w:after="144"/>
              <w:rPr>
                <w:rFonts w:ascii="Arial" w:hAnsi="Arial" w:cs="Arial"/>
              </w:rPr>
            </w:pPr>
            <w:r>
              <w:rPr>
                <w:rFonts w:cs="Arial" w:ascii="Arial" w:hAnsi="Arial"/>
              </w:rPr>
              <w:t>Commitment to ensuring the very best outcomes for pupils with special educational needs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643"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Evidence of high expectations for all pupils to ensure that they can reach their full potential, personally and academically</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13"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 w:val="left" w:pos="5595" w:leader="none"/>
              </w:tabs>
              <w:spacing w:before="144" w:after="144"/>
              <w:rPr>
                <w:rFonts w:ascii="Arial" w:hAnsi="Arial" w:cs="Arial"/>
              </w:rPr>
            </w:pPr>
            <w:r>
              <w:rPr>
                <w:rFonts w:cs="Arial" w:ascii="Arial" w:hAnsi="Arial"/>
              </w:rPr>
              <w:t>Ability to lead by example and to motivate others to work effectively as both an individual and a team member</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13"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 w:val="left" w:pos="5595" w:leader="none"/>
              </w:tabs>
              <w:spacing w:before="144" w:after="144"/>
              <w:rPr>
                <w:rFonts w:ascii="Arial" w:hAnsi="Arial" w:cs="Arial"/>
              </w:rPr>
            </w:pPr>
            <w:r>
              <w:rPr>
                <w:rFonts w:cs="Arial" w:ascii="Arial" w:hAnsi="Arial"/>
              </w:rPr>
              <w:t>Articulate, approachable and empathetic; excellent communicator with pupils, parents and the wider community</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Ability to model effective teaching using a wide variety of strategies to maximise achievement for all children, including those with SEND</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653"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Ability to promote a welcoming, supportive and fully inclusive learning environment</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653"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Ability to implement change, plan strategically and lead initiatives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19" w:hRule="atLeast"/>
        </w:trPr>
        <w:tc>
          <w:tcPr>
            <w:tcW w:w="6662" w:type="dxa"/>
            <w:tcBorders>
              <w:top w:val="single" w:sz="4" w:space="0" w:color="000000"/>
              <w:left w:val="single" w:sz="4" w:space="0" w:color="000000"/>
              <w:bottom w:val="single" w:sz="4" w:space="0" w:color="000000"/>
            </w:tcBorders>
            <w:shd w:fill="auto" w:val="clear"/>
          </w:tcPr>
          <w:p>
            <w:pPr>
              <w:pStyle w:val="Normal"/>
              <w:tabs>
                <w:tab w:val="clear" w:pos="720"/>
                <w:tab w:val="left" w:pos="-1440" w:leader="none"/>
              </w:tabs>
              <w:spacing w:before="144" w:after="144"/>
              <w:rPr>
                <w:rFonts w:ascii="Arial" w:hAnsi="Arial" w:cs="Arial"/>
              </w:rPr>
            </w:pPr>
            <w:r>
              <w:rPr>
                <w:rFonts w:cs="Arial" w:ascii="Arial" w:hAnsi="Arial"/>
              </w:rPr>
              <w:t>Ability to coach and mentor colleagues to improve practice</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Desirable</w:t>
            </w:r>
          </w:p>
        </w:tc>
      </w:tr>
      <w:tr>
        <w:trPr>
          <w:trHeight w:val="427" w:hRule="atLeast"/>
        </w:trPr>
        <w:tc>
          <w:tcPr>
            <w:tcW w:w="10953"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Education and Qualifications</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Qualified Teacher Status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Degree</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Evidence of recent continuing professional development</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National Award for Special Educational Needs Coordination or willingness to work towards qualification in the future</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10953"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Work related Attributes</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A team player who is warm and sensitive to children and adults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Committed to modelling the school’s vision and values in day-to-day work</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Ability to work calmly under pressure and solve problems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Ability to reflect and employ a growth mindset</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27" w:hRule="atLeast"/>
        </w:trPr>
        <w:tc>
          <w:tcPr>
            <w:tcW w:w="6662" w:type="dxa"/>
            <w:tcBorders>
              <w:top w:val="single" w:sz="4" w:space="0" w:color="000000"/>
              <w:left w:val="single" w:sz="4" w:space="0" w:color="000000"/>
              <w:bottom w:val="single" w:sz="4" w:space="0" w:color="000000"/>
            </w:tcBorders>
            <w:shd w:fill="auto" w:val="clear"/>
          </w:tcPr>
          <w:p>
            <w:pPr>
              <w:pStyle w:val="Normal"/>
              <w:spacing w:before="144" w:after="144"/>
              <w:rPr>
                <w:rFonts w:ascii="Arial" w:hAnsi="Arial" w:cs="Arial"/>
              </w:rPr>
            </w:pPr>
            <w:r>
              <w:rPr>
                <w:rFonts w:cs="Arial" w:ascii="Arial" w:hAnsi="Arial"/>
              </w:rPr>
              <w:t>Excellent planning, prioritising and organisational skills</w:t>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auto"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44" w:after="144"/>
              <w:rPr>
                <w:rFonts w:ascii="Arial" w:hAnsi="Arial" w:cs="Arial"/>
                <w:b/>
                <w:b/>
              </w:rPr>
            </w:pPr>
            <w:r>
              <w:rPr>
                <w:rFonts w:cs="Arial" w:ascii="Arial" w:hAnsi="Arial"/>
                <w:b/>
              </w:rPr>
              <w:t>Essential</w:t>
            </w:r>
          </w:p>
        </w:tc>
      </w:tr>
      <w:tr>
        <w:trPr>
          <w:trHeight w:val="499" w:hRule="atLeast"/>
        </w:trPr>
        <w:tc>
          <w:tcPr>
            <w:tcW w:w="6662" w:type="dxa"/>
            <w:tcBorders>
              <w:top w:val="single" w:sz="4" w:space="0" w:color="000000"/>
              <w:left w:val="single" w:sz="4" w:space="0" w:color="000000"/>
              <w:bottom w:val="single" w:sz="4" w:space="0" w:color="000000"/>
            </w:tcBorders>
            <w:shd w:fill="D9D9D9" w:val="clear"/>
          </w:tcPr>
          <w:p>
            <w:pPr>
              <w:pStyle w:val="Normal"/>
              <w:spacing w:lineRule="exact" w:line="163" w:before="144" w:after="144"/>
              <w:rPr>
                <w:rFonts w:ascii="Arial" w:hAnsi="Arial" w:cs="Arial"/>
              </w:rPr>
            </w:pPr>
            <w:r>
              <w:rPr>
                <w:rFonts w:cs="Arial" w:ascii="Arial" w:hAnsi="Arial"/>
              </w:rPr>
              <w:t>Understands and actively supports Stockport Council’s diversity and equality policy</w:t>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D9D9D9" w:val="clear"/>
          </w:tcPr>
          <w:p>
            <w:pPr>
              <w:pStyle w:val="Normal"/>
              <w:spacing w:before="144" w:after="144"/>
              <w:rPr>
                <w:rFonts w:ascii="Arial" w:hAnsi="Arial" w:cs="Arial"/>
                <w:b/>
                <w:b/>
              </w:rPr>
            </w:pPr>
            <w:r>
              <w:rPr>
                <w:rFonts w:cs="Arial" w:ascii="Arial" w:hAnsi="Arial"/>
                <w:b/>
              </w:rPr>
              <w:t>Essential</w:t>
            </w:r>
          </w:p>
        </w:tc>
      </w:tr>
      <w:tr>
        <w:trPr>
          <w:trHeight w:val="388" w:hRule="atLeast"/>
        </w:trPr>
        <w:tc>
          <w:tcPr>
            <w:tcW w:w="6662" w:type="dxa"/>
            <w:tcBorders>
              <w:top w:val="single" w:sz="4" w:space="0" w:color="000000"/>
              <w:left w:val="single" w:sz="4" w:space="0" w:color="000000"/>
              <w:bottom w:val="single" w:sz="4" w:space="0" w:color="000000"/>
            </w:tcBorders>
            <w:shd w:fill="D9D9D9" w:val="clear"/>
          </w:tcPr>
          <w:p>
            <w:pPr>
              <w:pStyle w:val="Normal"/>
              <w:spacing w:lineRule="auto" w:line="184" w:before="144" w:after="144"/>
              <w:rPr>
                <w:rFonts w:ascii="Arial" w:hAnsi="Arial" w:cs="Arial"/>
              </w:rPr>
            </w:pPr>
            <w:r>
              <w:rPr>
                <w:rFonts w:cs="Arial" w:ascii="Arial" w:hAnsi="Arial"/>
              </w:rPr>
              <w:t>To meet Stockport Council’s standard of attendance</w:t>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D9D9D9" w:val="clear"/>
          </w:tcPr>
          <w:p>
            <w:pPr>
              <w:pStyle w:val="Normal"/>
              <w:spacing w:before="144" w:after="144"/>
              <w:rPr>
                <w:rFonts w:ascii="Arial" w:hAnsi="Arial" w:cs="Arial"/>
                <w:b/>
                <w:b/>
              </w:rPr>
            </w:pPr>
            <w:r>
              <w:rPr>
                <w:rFonts w:cs="Arial" w:ascii="Arial" w:hAnsi="Arial"/>
                <w:b/>
              </w:rPr>
              <w:t>Essential</w:t>
            </w:r>
          </w:p>
        </w:tc>
      </w:tr>
      <w:tr>
        <w:trPr>
          <w:trHeight w:val="388" w:hRule="atLeast"/>
        </w:trPr>
        <w:tc>
          <w:tcPr>
            <w:tcW w:w="6662" w:type="dxa"/>
            <w:tcBorders>
              <w:top w:val="single" w:sz="4" w:space="0" w:color="000000"/>
              <w:left w:val="single" w:sz="4" w:space="0" w:color="000000"/>
              <w:bottom w:val="single" w:sz="4" w:space="0" w:color="000000"/>
            </w:tcBorders>
            <w:shd w:fill="D9D9D9" w:val="clear"/>
          </w:tcPr>
          <w:p>
            <w:pPr>
              <w:pStyle w:val="Normal"/>
              <w:spacing w:lineRule="auto" w:line="184" w:before="144" w:after="144"/>
              <w:rPr>
                <w:rFonts w:ascii="Arial" w:hAnsi="Arial" w:cs="Arial"/>
              </w:rPr>
            </w:pPr>
            <w:r>
              <w:rPr>
                <w:rFonts w:cs="Arial" w:ascii="Arial" w:hAnsi="Arial"/>
              </w:rPr>
              <w:t xml:space="preserve">A willingness to be flexible in a changing environment </w:t>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7"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568" w:type="dxa"/>
            <w:tcBorders>
              <w:top w:val="single" w:sz="4" w:space="0" w:color="000000"/>
              <w:left w:val="single" w:sz="4" w:space="0" w:color="000000"/>
              <w:bottom w:val="single" w:sz="4" w:space="0" w:color="000000"/>
            </w:tcBorders>
            <w:shd w:fill="D9D9D9" w:val="clear"/>
          </w:tcPr>
          <w:p>
            <w:pPr>
              <w:pStyle w:val="Normal"/>
              <w:snapToGrid w:val="false"/>
              <w:spacing w:before="144" w:after="144"/>
              <w:rPr>
                <w:rFonts w:ascii="Arial" w:hAnsi="Arial" w:cs="Arial"/>
              </w:rPr>
            </w:pPr>
            <w:r>
              <w:rPr>
                <w:rFonts w:cs="Arial" w:ascii="Arial" w:hAnsi="Arial"/>
              </w:rPr>
            </w:r>
          </w:p>
        </w:tc>
        <w:tc>
          <w:tcPr>
            <w:tcW w:w="1455" w:type="dxa"/>
            <w:tcBorders>
              <w:top w:val="single" w:sz="4" w:space="0" w:color="000000"/>
              <w:left w:val="single" w:sz="4" w:space="0" w:color="000000"/>
              <w:bottom w:val="single" w:sz="4" w:space="0" w:color="000000"/>
              <w:right w:val="single" w:sz="4" w:space="0" w:color="000000"/>
            </w:tcBorders>
            <w:shd w:fill="D9D9D9" w:val="clear"/>
          </w:tcPr>
          <w:p>
            <w:pPr>
              <w:pStyle w:val="Normal"/>
              <w:spacing w:before="144" w:after="144"/>
              <w:rPr>
                <w:rFonts w:ascii="Arial" w:hAnsi="Arial" w:cs="Arial"/>
                <w:b/>
                <w:b/>
              </w:rPr>
            </w:pPr>
            <w:r>
              <w:rPr>
                <w:rFonts w:cs="Arial" w:ascii="Arial" w:hAnsi="Arial"/>
                <w:b/>
              </w:rPr>
              <w:t>Essential</w:t>
            </w:r>
          </w:p>
        </w:tc>
      </w:tr>
    </w:tbl>
    <w:p>
      <w:pPr>
        <w:pStyle w:val="Normal"/>
        <w:rPr>
          <w:rFonts w:ascii="Arial" w:hAnsi="Arial" w:cs="Arial"/>
          <w:sz w:val="16"/>
          <w:szCs w:val="16"/>
        </w:rPr>
      </w:pPr>
      <w:r>
        <w:rPr>
          <w:rFonts w:cs="Arial" w:ascii="Arial" w:hAnsi="Arial"/>
          <w:sz w:val="16"/>
          <w:szCs w:val="16"/>
        </w:rPr>
      </w:r>
    </w:p>
    <w:p>
      <w:pPr>
        <w:pStyle w:val="Normal"/>
        <w:rPr>
          <w:rFonts w:ascii="Arial" w:hAnsi="Arial" w:cs="Arial"/>
          <w:b/>
          <w:b/>
        </w:rPr>
      </w:pPr>
      <w:r>
        <w:rPr>
          <w:rFonts w:cs="Arial" w:ascii="Arial" w:hAnsi="Arial"/>
          <w:b/>
        </w:rPr>
        <w:t>Scoring key</w:t>
      </w:r>
    </w:p>
    <w:p>
      <w:pPr>
        <w:pStyle w:val="Normal"/>
        <w:spacing w:before="0" w:after="0"/>
        <w:contextualSpacing/>
        <w:rPr>
          <w:rFonts w:ascii="Arial" w:hAnsi="Arial" w:cs="Arial"/>
        </w:rPr>
      </w:pPr>
      <w:r>
        <w:rPr>
          <w:rFonts w:cs="Arial" w:ascii="Arial" w:hAnsi="Arial"/>
        </w:rPr>
        <w:t xml:space="preserve">0 – Not met essential criteria </w:t>
      </w:r>
    </w:p>
    <w:p>
      <w:pPr>
        <w:pStyle w:val="Normal"/>
        <w:spacing w:before="0" w:after="0"/>
        <w:contextualSpacing/>
        <w:rPr>
          <w:rFonts w:ascii="Arial" w:hAnsi="Arial" w:cs="Arial"/>
        </w:rPr>
      </w:pPr>
      <w:r>
        <w:rPr>
          <w:rFonts w:cs="Arial" w:ascii="Arial" w:hAnsi="Arial"/>
        </w:rPr>
        <w:t>1 – Partially meets essential criteria</w:t>
      </w:r>
    </w:p>
    <w:p>
      <w:pPr>
        <w:pStyle w:val="Normal"/>
        <w:spacing w:before="0" w:after="0"/>
        <w:contextualSpacing/>
        <w:rPr>
          <w:rFonts w:ascii="Arial" w:hAnsi="Arial" w:cs="Arial"/>
        </w:rPr>
      </w:pPr>
      <w:r>
        <w:rPr>
          <w:rFonts w:cs="Arial" w:ascii="Arial" w:hAnsi="Arial"/>
        </w:rPr>
        <w:t>2 – Meets criteria</w:t>
      </w:r>
    </w:p>
    <w:p>
      <w:pPr>
        <w:pStyle w:val="Normal"/>
        <w:spacing w:before="0" w:after="0"/>
        <w:contextualSpacing/>
        <w:rPr>
          <w:rFonts w:ascii="Arial" w:hAnsi="Arial" w:cs="Arial"/>
        </w:rPr>
      </w:pPr>
      <w:r>
        <w:rPr>
          <w:rFonts w:cs="Arial" w:ascii="Arial" w:hAnsi="Arial"/>
        </w:rPr>
        <w:t>3 – Exceeds criteria</w:t>
      </w:r>
    </w:p>
    <w:p>
      <w:pPr>
        <w:pStyle w:val="Normal"/>
        <w:spacing w:before="0" w:after="0"/>
        <w:contextualSpacing/>
        <w:rPr>
          <w:rFonts w:ascii="Arial" w:hAnsi="Arial" w:cs="Arial"/>
        </w:rPr>
      </w:pPr>
      <w:r>
        <w:rPr>
          <w:rFonts w:cs="Arial" w:ascii="Arial" w:hAnsi="Arial"/>
        </w:rPr>
        <w:t>4 - Exceptional</w:t>
      </w:r>
    </w:p>
    <w:p>
      <w:pPr>
        <w:pStyle w:val="Normal"/>
        <w:rPr/>
      </w:pPr>
      <w:r>
        <w:rPr/>
      </w:r>
    </w:p>
    <w:sectPr>
      <w:footerReference w:type="default" r:id="rId3"/>
      <w:type w:val="nextPage"/>
      <w:pgSz w:w="11906" w:h="16838"/>
      <w:pgMar w:left="425" w:right="707" w:header="0" w:top="425" w:footer="313" w:bottom="37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5">
              <wp:simplePos x="0" y="0"/>
              <wp:positionH relativeFrom="margin">
                <wp:align>center</wp:align>
              </wp:positionH>
              <wp:positionV relativeFrom="paragraph">
                <wp:posOffset>635</wp:posOffset>
              </wp:positionV>
              <wp:extent cx="63500" cy="146050"/>
              <wp:effectExtent l="0" t="0" r="0" b="0"/>
              <wp:wrapSquare wrapText="largest"/>
              <wp:docPr id="2" name="Frame1"/>
              <a:graphic xmlns:a="http://schemas.openxmlformats.org/drawingml/2006/main">
                <a:graphicData uri="http://schemas.microsoft.com/office/word/2010/wordprocessingShape">
                  <wps:wsp>
                    <wps:cNvSpPr txBox="1"/>
                    <wps:spPr>
                      <a:xfrm>
                        <a:off x="0" y="0"/>
                        <a:ext cx="63500" cy="146050"/>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3</w:t>
                          </w:r>
                          <w:r>
                            <w:rPr>
                              <w:rStyle w:val="Pagenumber"/>
                            </w:rPr>
                            <w:fldChar w:fldCharType="end"/>
                          </w:r>
                        </w:p>
                      </w:txbxContent>
                    </wps:txbx>
                    <wps:bodyPr anchor="t" lIns="635" tIns="635" rIns="635" bIns="635">
                      <a:noAutofit/>
                    </wps:bodyPr>
                  </wps:wsp>
                </a:graphicData>
              </a:graphic>
            </wp:anchor>
          </w:drawing>
        </mc:Choice>
        <mc:Fallback>
          <w:pict>
            <v:rect fillcolor="#FFFFFF" style="position:absolute;rotation:0;width:5pt;height:11.5pt;mso-wrap-distance-left:0pt;mso-wrap-distance-right:0pt;mso-wrap-distance-top:0pt;mso-wrap-distance-bottom:0pt;margin-top:0.05pt;mso-position-vertical-relative:text;margin-left:266.85pt;mso-position-horizontal:center;mso-position-horizontal-relative:margin">
              <v:fill opacity="0f"/>
              <v:textbox inset="0.000694444444444444in,0.000694444444444444in,0.000694444444444444in,0.000694444444444444in">
                <w:txbxContent>
                  <w:p>
                    <w:pPr>
                      <w:pStyle w:val="Footer"/>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3</w:t>
                    </w:r>
                    <w:r>
                      <w:rPr>
                        <w:rStyle w:val="Pagenumber"/>
                      </w:rPr>
                      <w:fldChar w:fldCharType="end"/>
                    </w:r>
                  </w:p>
                </w:txbxContent>
              </v:textbox>
              <w10:wrap type="square" side="largest"/>
            </v:rect>
          </w:pict>
        </mc:Fallback>
      </mc:AlternateContent>
    </w:r>
  </w:p>
</w:ftr>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en-GB" w:eastAsia="en-US" w:bidi="ar-SA"/>
    </w:rPr>
  </w:style>
  <w:style w:type="character" w:styleId="DefaultParagraphFont">
    <w:name w:val="Default Paragraph Font"/>
    <w:qFormat/>
    <w:rPr/>
  </w:style>
  <w:style w:type="character" w:styleId="FooterChar">
    <w:name w:val="Footer Char"/>
    <w:basedOn w:val="DefaultParagraphFont"/>
    <w:qFormat/>
    <w:rPr>
      <w:rFonts w:ascii="Times New Roman" w:hAnsi="Times New Roman" w:eastAsia="Times New Roman" w:cs="Times New Roman"/>
      <w:sz w:val="20"/>
      <w:szCs w:val="20"/>
    </w:rPr>
  </w:style>
  <w:style w:type="character" w:styleId="Pagenumber">
    <w:name w:val="page number"/>
    <w:basedOn w:val="DefaultParagraphFont"/>
    <w:qForma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Footer">
    <w:name w:val="Footer"/>
    <w:basedOn w:val="Normal"/>
    <w:pPr>
      <w:tabs>
        <w:tab w:val="clear" w:pos="720"/>
        <w:tab w:val="center" w:pos="4153" w:leader="none"/>
        <w:tab w:val="right" w:pos="8306" w:leader="none"/>
      </w:tabs>
    </w:pPr>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