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wmf" ContentType="image/x-wmf"/>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11056" w:type="dxa"/>
        <w:jc w:val="left"/>
        <w:tblInd w:w="216" w:type="dxa"/>
        <w:tblLayout w:type="fixed"/>
        <w:tblCellMar>
          <w:top w:w="0" w:type="dxa"/>
          <w:left w:w="108" w:type="dxa"/>
          <w:bottom w:w="0" w:type="dxa"/>
          <w:right w:w="108" w:type="dxa"/>
        </w:tblCellMar>
      </w:tblPr>
      <w:tblGrid>
        <w:gridCol w:w="6071"/>
        <w:gridCol w:w="4985"/>
      </w:tblGrid>
      <w:tr>
        <w:trPr/>
        <w:tc>
          <w:tcPr>
            <w:tcW w:w="11056" w:type="dxa"/>
            <w:gridSpan w:val="2"/>
            <w:tcBorders>
              <w:top w:val="single" w:sz="18" w:space="0" w:color="006666"/>
              <w:left w:val="single" w:sz="18" w:space="0" w:color="006666"/>
              <w:bottom w:val="single" w:sz="18" w:space="0" w:color="006666"/>
              <w:right w:val="single" w:sz="18" w:space="0" w:color="006666"/>
            </w:tcBorders>
          </w:tcPr>
          <w:p>
            <w:pPr>
              <w:pStyle w:val="Title"/>
              <w:ind w:left="-142" w:right="0"/>
              <w:rPr/>
            </w:pPr>
            <w:bookmarkStart w:id="0" w:name="_GoBack"/>
            <w:bookmarkEnd w:id="0"/>
            <w:r>
              <w:rPr/>
              <mc:AlternateContent>
                <mc:Choice Requires="wps">
                  <w:drawing>
                    <wp:anchor behindDoc="0" distT="0" distB="0" distL="114935" distR="114300" simplePos="0" locked="0" layoutInCell="1" allowOverlap="1" relativeHeight="5">
                      <wp:simplePos x="0" y="0"/>
                      <wp:positionH relativeFrom="column">
                        <wp:posOffset>57785</wp:posOffset>
                      </wp:positionH>
                      <wp:positionV relativeFrom="paragraph">
                        <wp:posOffset>1190625</wp:posOffset>
                      </wp:positionV>
                      <wp:extent cx="1805305" cy="514985"/>
                      <wp:effectExtent l="635" t="635" r="0" b="0"/>
                      <wp:wrapNone/>
                      <wp:docPr id="1" name="Text Box 9"/>
                      <a:graphic xmlns:a="http://schemas.openxmlformats.org/drawingml/2006/main">
                        <a:graphicData uri="http://schemas.microsoft.com/office/word/2010/wordprocessingShape">
                          <wps:wsp>
                            <wps:cNvSpPr/>
                            <wps:spPr>
                              <a:xfrm>
                                <a:off x="0" y="0"/>
                                <a:ext cx="1805400" cy="515160"/>
                              </a:xfrm>
                              <a:prstGeom prst="rect">
                                <a:avLst/>
                              </a:prstGeom>
                              <a:solidFill>
                                <a:srgbClr val="ffffff"/>
                              </a:solidFill>
                              <a:ln w="0">
                                <a:noFill/>
                              </a:ln>
                            </wps:spPr>
                            <wps:style>
                              <a:lnRef idx="0"/>
                              <a:fillRef idx="0"/>
                              <a:effectRef idx="0"/>
                              <a:fontRef idx="minor"/>
                            </wps:style>
                            <wps:bodyPr/>
                          </wps:wsp>
                        </a:graphicData>
                      </a:graphic>
                    </wp:anchor>
                  </w:drawing>
                </mc:Choice>
                <mc:Fallback>
                  <w:pict>
                    <v:rect id="shape_0" ID="Text Box 9" path="m0,0l-2147483645,0l-2147483645,-2147483646l0,-2147483646xe" fillcolor="white" stroked="f" o:allowincell="t" style="position:absolute;margin-left:4.55pt;margin-top:93.75pt;width:142.1pt;height:40.5pt;mso-wrap-style:none;v-text-anchor:middle">
                      <v:fill o:detectmouseclick="t" type="solid" color2="black"/>
                      <v:stroke color="#3465a4" joinstyle="round" endcap="flat"/>
                      <w10:wrap type="none"/>
                    </v:rect>
                  </w:pict>
                </mc:Fallback>
              </mc:AlternateContent>
              <w:drawing>
                <wp:inline distT="0" distB="0" distL="0" distR="0">
                  <wp:extent cx="7009765" cy="1189990"/>
                  <wp:effectExtent l="0" t="0" r="0" b="0"/>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2"/>
                          <a:srcRect l="-3" t="-19" r="-3" b="-19"/>
                          <a:stretch>
                            <a:fillRect/>
                          </a:stretch>
                        </pic:blipFill>
                        <pic:spPr bwMode="auto">
                          <a:xfrm>
                            <a:off x="0" y="0"/>
                            <a:ext cx="7009765" cy="1189990"/>
                          </a:xfrm>
                          <a:prstGeom prst="rect">
                            <a:avLst/>
                          </a:prstGeom>
                        </pic:spPr>
                      </pic:pic>
                    </a:graphicData>
                  </a:graphic>
                </wp:inline>
              </w:drawing>
            </w:r>
            <w:r>
              <w:rPr>
                <w:rFonts w:eastAsia="Verdana" w:cs="Verdana" w:ascii="Verdana" w:hAnsi="Verdana"/>
                <w:b w:val="false"/>
                <w:sz w:val="24"/>
                <w:u w:val="none"/>
              </w:rPr>
              <w:t xml:space="preserve"> </w:t>
            </w:r>
            <w:r>
              <w:rPr>
                <w:rFonts w:cs="Verdana" w:ascii="Verdana" w:hAnsi="Verdana"/>
                <w:szCs w:val="32"/>
                <w:u w:val="none"/>
              </w:rPr>
              <w:t>Stockport Council</w:t>
            </w:r>
            <w:r>
              <mc:AlternateContent>
                <mc:Choice Requires="wps">
                  <w:drawing>
                    <wp:anchor behindDoc="0" distT="72390" distB="72390" distL="0" distR="0" simplePos="0" locked="0" layoutInCell="1" allowOverlap="1" relativeHeight="6">
                      <wp:simplePos x="0" y="0"/>
                      <wp:positionH relativeFrom="column">
                        <wp:posOffset>57785</wp:posOffset>
                      </wp:positionH>
                      <wp:positionV relativeFrom="paragraph">
                        <wp:posOffset>1190625</wp:posOffset>
                      </wp:positionV>
                      <wp:extent cx="1805305" cy="424180"/>
                      <wp:effectExtent l="0" t="0" r="0" b="0"/>
                      <wp:wrapNone/>
                      <wp:docPr id="3" name="Frame1"/>
                      <a:graphic xmlns:a="http://schemas.openxmlformats.org/drawingml/2006/main">
                        <a:graphicData uri="http://schemas.microsoft.com/office/word/2010/wordprocessingShape">
                          <wps:wsp>
                            <wps:cNvSpPr txBox="1"/>
                            <wps:spPr>
                              <a:xfrm>
                                <a:off x="0" y="0"/>
                                <a:ext cx="1805305" cy="424180"/>
                              </a:xfrm>
                              <a:prstGeom prst="rect"/>
                              <a:solidFill>
                                <a:srgbClr val="FFFFFF"/>
                              </a:solidFill>
                            </wps:spPr>
                            <wps:txbx>
                              <w:txbxContent>
                                <w:p>
                                  <w:pPr>
                                    <w:pStyle w:val="FrameContents"/>
                                    <w:rPr/>
                                  </w:pPr>
                                  <w:r>
                                    <w:rPr/>
                                    <w:drawing>
                                      <wp:inline distT="0" distB="0" distL="0" distR="0">
                                        <wp:extent cx="1617345" cy="333375"/>
                                        <wp:effectExtent l="0" t="0" r="0" b="0"/>
                                        <wp:docPr id="4"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 descr=""/>
                                                <pic:cNvPicPr>
                                                  <a:picLocks noChangeAspect="1" noChangeArrowheads="1"/>
                                                </pic:cNvPicPr>
                                              </pic:nvPicPr>
                                              <pic:blipFill>
                                                <a:blip r:embed="rId3"/>
                                                <a:srcRect l="-10" t="-48" r="-10" b="-48"/>
                                                <a:stretch>
                                                  <a:fillRect/>
                                                </a:stretch>
                                              </pic:blipFill>
                                              <pic:spPr bwMode="auto">
                                                <a:xfrm>
                                                  <a:off x="0" y="0"/>
                                                  <a:ext cx="1617345" cy="333375"/>
                                                </a:xfrm>
                                                <a:prstGeom prst="rect">
                                                  <a:avLst/>
                                                </a:prstGeom>
                                              </pic:spPr>
                                            </pic:pic>
                                          </a:graphicData>
                                        </a:graphic>
                                      </wp:inline>
                                    </w:drawing>
                                  </w:r>
                                </w:p>
                              </w:txbxContent>
                            </wps:txbx>
                            <wps:bodyPr anchor="t" lIns="92075" tIns="46355" rIns="92075" bIns="46355">
                              <a:noAutofit/>
                            </wps:bodyPr>
                          </wps:wsp>
                        </a:graphicData>
                      </a:graphic>
                    </wp:anchor>
                  </w:drawing>
                </mc:Choice>
                <mc:Fallback>
                  <w:pict>
                    <v:rect fillcolor="#FFFFFF" style="position:absolute;rotation:-0;width:142.15pt;height:33.4pt;mso-wrap-distance-left:0pt;mso-wrap-distance-right:0pt;mso-wrap-distance-top:5.7pt;mso-wrap-distance-bottom:5.7pt;margin-top:93.75pt;mso-position-vertical-relative:text;margin-left:4.55pt;mso-position-horizontal-relative:text">
                      <v:textbox inset="0.100694444444444in,0.0506944444444444in,0.100694444444444in,0.0506944444444444in">
                        <w:txbxContent>
                          <w:p>
                            <w:pPr>
                              <w:pStyle w:val="FrameContents"/>
                              <w:rPr/>
                            </w:pPr>
                            <w:r>
                              <w:rPr/>
                              <w:drawing>
                                <wp:inline distT="0" distB="0" distL="0" distR="0">
                                  <wp:extent cx="1617345" cy="333375"/>
                                  <wp:effectExtent l="0" t="0" r="0" b="0"/>
                                  <wp:docPr id="5"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1" descr=""/>
                                          <pic:cNvPicPr>
                                            <a:picLocks noChangeAspect="1" noChangeArrowheads="1"/>
                                          </pic:cNvPicPr>
                                        </pic:nvPicPr>
                                        <pic:blipFill>
                                          <a:blip r:embed="rId4"/>
                                          <a:srcRect l="-10" t="-48" r="-10" b="-48"/>
                                          <a:stretch>
                                            <a:fillRect/>
                                          </a:stretch>
                                        </pic:blipFill>
                                        <pic:spPr bwMode="auto">
                                          <a:xfrm>
                                            <a:off x="0" y="0"/>
                                            <a:ext cx="1617345" cy="333375"/>
                                          </a:xfrm>
                                          <a:prstGeom prst="rect">
                                            <a:avLst/>
                                          </a:prstGeom>
                                        </pic:spPr>
                                      </pic:pic>
                                    </a:graphicData>
                                  </a:graphic>
                                </wp:inline>
                              </w:drawing>
                            </w:r>
                          </w:p>
                        </w:txbxContent>
                      </v:textbox>
                      <w10:wrap type="none"/>
                    </v:rect>
                  </w:pict>
                </mc:Fallback>
              </mc:AlternateContent>
            </w:r>
          </w:p>
          <w:p>
            <w:pPr>
              <w:pStyle w:val="Normal"/>
              <w:tabs>
                <w:tab w:val="left" w:pos="720" w:leader="none"/>
                <w:tab w:val="left" w:pos="1440" w:leader="none"/>
                <w:tab w:val="left" w:pos="2160" w:leader="none"/>
                <w:tab w:val="left" w:pos="2880" w:leader="none"/>
                <w:tab w:val="left" w:pos="6570" w:leader="none"/>
              </w:tabs>
              <w:jc w:val="center"/>
              <w:rPr>
                <w:rFonts w:ascii="Verdana" w:hAnsi="Verdana" w:cs="Verdana"/>
                <w:b/>
                <w:sz w:val="32"/>
                <w:szCs w:val="32"/>
              </w:rPr>
            </w:pPr>
            <w:r>
              <w:rPr>
                <w:rFonts w:cs="Verdana" w:ascii="Verdana" w:hAnsi="Verdana"/>
                <w:b/>
                <w:sz w:val="32"/>
                <w:szCs w:val="32"/>
              </w:rPr>
              <w:t>Job Description</w:t>
            </w:r>
          </w:p>
          <w:p>
            <w:pPr>
              <w:pStyle w:val="Normal"/>
              <w:jc w:val="center"/>
              <w:rPr>
                <w:rFonts w:ascii="Tahoma" w:hAnsi="Tahoma" w:cs="Tahoma"/>
                <w:b/>
              </w:rPr>
            </w:pPr>
            <w:r>
              <w:rPr>
                <w:rFonts w:cs="Tahoma" w:ascii="Tahoma" w:hAnsi="Tahoma"/>
                <w:b/>
              </w:rPr>
            </w:r>
          </w:p>
          <w:p>
            <w:pPr>
              <w:pStyle w:val="Normal"/>
              <w:jc w:val="center"/>
              <w:rPr/>
            </w:pPr>
            <w:r>
              <w:rPr>
                <w:rFonts w:cs="Tahoma" w:ascii="Tahoma" w:hAnsi="Tahoma"/>
                <w:b/>
              </w:rPr>
              <w:t>This school is committed to safeguarding and promoting the welfare of children and young people and expects all staff and volunteers to share this commitment.</w:t>
            </w:r>
            <w:r>
              <w:rPr>
                <w:rFonts w:cs="Arial" w:ascii="Arial" w:hAnsi="Arial"/>
                <w:b/>
                <w:bCs/>
                <w:sz w:val="28"/>
              </w:rPr>
              <w:t xml:space="preserve"> </w:t>
            </w:r>
          </w:p>
          <w:p>
            <w:pPr>
              <w:pStyle w:val="Normal"/>
              <w:tabs>
                <w:tab w:val="left" w:pos="720" w:leader="none"/>
                <w:tab w:val="left" w:pos="1440" w:leader="none"/>
                <w:tab w:val="left" w:pos="2160" w:leader="none"/>
                <w:tab w:val="left" w:pos="2880" w:leader="none"/>
                <w:tab w:val="left" w:pos="6570" w:leader="none"/>
              </w:tabs>
              <w:rPr/>
            </w:pPr>
            <w:r>
              <w:rPr/>
            </w:r>
          </w:p>
        </w:tc>
      </w:tr>
      <w:tr>
        <w:trPr/>
        <w:tc>
          <w:tcPr>
            <w:tcW w:w="6071" w:type="dxa"/>
            <w:tcBorders>
              <w:top w:val="single" w:sz="18" w:space="0" w:color="006666"/>
              <w:left w:val="single" w:sz="18" w:space="0" w:color="006666"/>
              <w:bottom w:val="single" w:sz="18" w:space="0" w:color="006666"/>
              <w:right w:val="single" w:sz="18" w:space="0" w:color="006666"/>
            </w:tcBorders>
          </w:tcPr>
          <w:p>
            <w:pPr>
              <w:pStyle w:val="Normal"/>
              <w:snapToGrid w:val="false"/>
              <w:rPr/>
            </w:pPr>
            <w:r>
              <w:rPr/>
            </w:r>
          </w:p>
          <w:p>
            <w:pPr>
              <w:pStyle w:val="Title"/>
              <w:jc w:val="left"/>
              <w:rPr>
                <w:rFonts w:ascii="Verdana" w:hAnsi="Verdana" w:cs="Verdana"/>
                <w:sz w:val="20"/>
                <w:u w:val="none"/>
              </w:rPr>
            </w:pPr>
            <w:r>
              <w:rPr>
                <w:rFonts w:cs="Verdana" w:ascii="Verdana" w:hAnsi="Verdana"/>
                <w:sz w:val="20"/>
                <w:u w:val="none"/>
              </w:rPr>
              <w:t>Job Title:</w:t>
              <w:tab/>
              <w:t>Class Teacher</w:t>
              <w:tab/>
              <w:tab/>
            </w:r>
          </w:p>
        </w:tc>
        <w:tc>
          <w:tcPr>
            <w:tcW w:w="4985" w:type="dxa"/>
            <w:tcBorders>
              <w:top w:val="single" w:sz="18" w:space="0" w:color="006666"/>
              <w:left w:val="single" w:sz="18" w:space="0" w:color="006666"/>
              <w:bottom w:val="single" w:sz="18" w:space="0" w:color="006666"/>
              <w:right w:val="single" w:sz="18" w:space="0" w:color="006666"/>
            </w:tcBorders>
          </w:tcPr>
          <w:p>
            <w:pPr>
              <w:pStyle w:val="Normal"/>
              <w:tabs>
                <w:tab w:val="left" w:pos="720" w:leader="none"/>
                <w:tab w:val="left" w:pos="1440" w:leader="none"/>
                <w:tab w:val="left" w:pos="2160" w:leader="none"/>
                <w:tab w:val="left" w:pos="2880" w:leader="none"/>
                <w:tab w:val="left" w:pos="6570" w:leader="none"/>
              </w:tabs>
              <w:rPr>
                <w:rFonts w:ascii="Verdana" w:hAnsi="Verdana" w:eastAsia="Verdana" w:cs="Verdana"/>
                <w:b/>
              </w:rPr>
            </w:pPr>
            <w:r>
              <w:rPr>
                <w:rFonts w:eastAsia="Verdana" w:cs="Verdana" w:ascii="Verdana" w:hAnsi="Verdana"/>
                <w:b/>
              </w:rPr>
              <w:t xml:space="preserve">  </w:t>
            </w:r>
          </w:p>
          <w:p>
            <w:pPr>
              <w:pStyle w:val="Title"/>
              <w:jc w:val="left"/>
              <w:rPr>
                <w:rFonts w:ascii="Verdana" w:hAnsi="Verdana" w:cs="Verdana"/>
                <w:sz w:val="20"/>
                <w:u w:val="none"/>
              </w:rPr>
            </w:pPr>
            <w:r>
              <w:rPr>
                <w:rFonts w:cs="Verdana" w:ascii="Verdana" w:hAnsi="Verdana"/>
                <w:sz w:val="20"/>
                <w:u w:val="none"/>
              </w:rPr>
              <w:t>Salary Grade:  Main Pay Scale</w:t>
            </w:r>
          </w:p>
          <w:p>
            <w:pPr>
              <w:pStyle w:val="Normal"/>
              <w:rPr/>
            </w:pPr>
            <w:r>
              <w:rPr/>
            </w:r>
          </w:p>
        </w:tc>
      </w:tr>
      <w:tr>
        <w:trPr/>
        <w:tc>
          <w:tcPr>
            <w:tcW w:w="11056" w:type="dxa"/>
            <w:gridSpan w:val="2"/>
            <w:tcBorders>
              <w:top w:val="single" w:sz="18" w:space="0" w:color="006666"/>
              <w:left w:val="single" w:sz="18" w:space="0" w:color="006666"/>
              <w:bottom w:val="single" w:sz="18" w:space="0" w:color="006666"/>
              <w:right w:val="single" w:sz="18" w:space="0" w:color="006666"/>
            </w:tcBorders>
          </w:tcPr>
          <w:p>
            <w:pPr>
              <w:pStyle w:val="Normal"/>
              <w:rPr>
                <w:rFonts w:ascii="Verdana" w:hAnsi="Verdana" w:cs="Verdana"/>
                <w:b/>
              </w:rPr>
            </w:pPr>
            <w:r>
              <w:rPr>
                <w:rFonts w:cs="Verdana" w:ascii="Verdana" w:hAnsi="Verdana"/>
                <w:b/>
              </w:rPr>
              <w:t>Post Reports to: Headteacher</w:t>
            </w:r>
          </w:p>
          <w:p>
            <w:pPr>
              <w:pStyle w:val="Normal"/>
              <w:rPr>
                <w:rFonts w:ascii="Verdana" w:hAnsi="Verdana" w:cs="Verdana"/>
                <w:b/>
              </w:rPr>
            </w:pPr>
            <w:r>
              <w:rPr>
                <w:rFonts w:cs="Verdana" w:ascii="Verdana" w:hAnsi="Verdana"/>
                <w:b/>
              </w:rPr>
            </w:r>
          </w:p>
        </w:tc>
      </w:tr>
      <w:tr>
        <w:trPr/>
        <w:tc>
          <w:tcPr>
            <w:tcW w:w="11056" w:type="dxa"/>
            <w:gridSpan w:val="2"/>
            <w:tcBorders>
              <w:top w:val="single" w:sz="18" w:space="0" w:color="006666"/>
              <w:left w:val="single" w:sz="18" w:space="0" w:color="006666"/>
              <w:bottom w:val="single" w:sz="18" w:space="0" w:color="006666"/>
              <w:right w:val="single" w:sz="18" w:space="0" w:color="006666"/>
            </w:tcBorders>
          </w:tcPr>
          <w:p>
            <w:pPr>
              <w:pStyle w:val="Normal"/>
              <w:rPr/>
            </w:pPr>
            <w:r>
              <w:rPr>
                <w:rFonts w:cs="Verdana" w:ascii="Verdana" w:hAnsi="Verdana"/>
                <w:b/>
              </w:rPr>
              <w:t>Main Purpose of the Job:</w:t>
            </w:r>
            <w:r>
              <w:rPr>
                <w:rFonts w:cs="Verdana" w:ascii="Verdana" w:hAnsi="Verdana"/>
              </w:rPr>
              <w:t xml:space="preserve"> </w:t>
            </w:r>
            <w:r>
              <w:fldChar w:fldCharType="begin">
                <w:ffData>
                  <w:name w:val="Text38"/>
                  <w:enabled/>
                  <w:calcOnExit w:val="0"/>
                  <w:textInput/>
                </w:ffData>
              </w:fldChar>
            </w:r>
            <w:r>
              <w:rPr>
                <w:b/>
                <w:rFonts w:cs="Verdana" w:ascii="Verdana" w:hAnsi="Verdana"/>
              </w:rPr>
              <w:instrText xml:space="preserve"> FORMTEXT </w:instrText>
            </w:r>
            <w:r>
              <w:rPr>
                <w:rFonts w:cs="Verdana" w:ascii="Verdana" w:hAnsi="Verdana"/>
                <w:b/>
              </w:rPr>
            </w:r>
            <w:r>
              <w:rPr>
                <w:b/>
                <w:rFonts w:cs="Verdana" w:ascii="Verdana" w:hAnsi="Verdana"/>
              </w:rPr>
              <w:fldChar w:fldCharType="separate"/>
            </w:r>
            <w:r>
              <w:rPr>
                <w:rFonts w:cs="Verdana" w:ascii="Verdana" w:hAnsi="Verdana"/>
                <w:b/>
              </w:rPr>
              <w:t>     </w:t>
            </w:r>
            <w:r>
              <w:rPr>
                <w:rFonts w:cs="Verdana" w:ascii="Verdana" w:hAnsi="Verdana"/>
                <w:b/>
              </w:rPr>
            </w:r>
            <w:r>
              <w:rPr>
                <w:b/>
                <w:rFonts w:cs="Verdana" w:ascii="Verdana" w:hAnsi="Verdana"/>
              </w:rPr>
              <w:fldChar w:fldCharType="end"/>
            </w:r>
            <w:r>
              <w:rPr>
                <w:rFonts w:cs="Arial" w:ascii="Arial" w:hAnsi="Arial"/>
                <w:sz w:val="22"/>
                <w:szCs w:val="22"/>
              </w:rPr>
              <w:t xml:space="preserve"> </w:t>
            </w:r>
          </w:p>
          <w:p>
            <w:pPr>
              <w:pStyle w:val="Normal"/>
              <w:rPr>
                <w:rFonts w:ascii="Arial" w:hAnsi="Arial" w:cs="Arial"/>
                <w:sz w:val="22"/>
                <w:szCs w:val="22"/>
              </w:rPr>
            </w:pPr>
            <w:r>
              <w:rPr>
                <w:rFonts w:cs="Arial" w:ascii="Arial" w:hAnsi="Arial"/>
                <w:sz w:val="22"/>
                <w:szCs w:val="22"/>
              </w:rPr>
            </w:r>
          </w:p>
          <w:p>
            <w:pPr>
              <w:pStyle w:val="Normal"/>
              <w:rPr/>
            </w:pPr>
            <w:r>
              <w:rPr>
                <w:rFonts w:cs="Arial" w:ascii="Arial" w:hAnsi="Arial"/>
              </w:rPr>
              <w:t xml:space="preserve">To </w:t>
            </w:r>
            <w:r>
              <w:rPr>
                <w:rFonts w:cs="Verdana" w:ascii="Verdana" w:hAnsi="Verdana"/>
              </w:rPr>
              <w:t xml:space="preserve">carry out professional duties and to have responsibility for an assigned class. </w:t>
            </w:r>
          </w:p>
          <w:p>
            <w:pPr>
              <w:pStyle w:val="Normal"/>
              <w:rPr>
                <w:rFonts w:ascii="Verdana" w:hAnsi="Verdana" w:cs="Verdana"/>
              </w:rPr>
            </w:pPr>
            <w:r>
              <w:rPr>
                <w:rFonts w:cs="Verdana" w:ascii="Verdana" w:hAnsi="Verdana"/>
              </w:rPr>
              <w:t>To be responsible for the day-to-day work and management of the class and the safety and welfare of the pupils, during on-site and off-site activities.</w:t>
            </w:r>
          </w:p>
          <w:p>
            <w:pPr>
              <w:pStyle w:val="PlainText"/>
              <w:jc w:val="both"/>
              <w:rPr/>
            </w:pPr>
            <w:r>
              <w:rPr>
                <w:rFonts w:cs="Verdana" w:ascii="Verdana" w:hAnsi="Verdana"/>
              </w:rPr>
              <w:t xml:space="preserve">To promote the aims and objectives of the school and maintain its philosophy of education. </w:t>
            </w:r>
          </w:p>
          <w:p>
            <w:pPr>
              <w:pStyle w:val="PlainText"/>
              <w:jc w:val="both"/>
              <w:rPr>
                <w:rFonts w:ascii="Verdana" w:hAnsi="Verdana" w:cs="Verdana"/>
              </w:rPr>
            </w:pPr>
            <w:r>
              <w:rPr>
                <w:rFonts w:cs="Verdana" w:ascii="Verdana" w:hAnsi="Verdana"/>
              </w:rPr>
            </w:r>
          </w:p>
          <w:p>
            <w:pPr>
              <w:pStyle w:val="PlainText"/>
              <w:jc w:val="both"/>
              <w:rPr>
                <w:rFonts w:ascii="Verdana" w:hAnsi="Verdana" w:cs="Verdana"/>
              </w:rPr>
            </w:pPr>
            <w:r>
              <w:rPr>
                <w:rFonts w:cs="Verdana" w:ascii="Verdana" w:hAnsi="Verdana"/>
              </w:rPr>
              <w:t>The responsibilities of the post are to be performed in accordance with the provisions of the most up to date edition of the School Teachers’ Pay and Conditions document and within the range of teachers’ duties set out in that document.</w:t>
            </w:r>
          </w:p>
          <w:p>
            <w:pPr>
              <w:pStyle w:val="Normal"/>
              <w:rPr>
                <w:rFonts w:ascii="Verdana" w:hAnsi="Verdana" w:cs="Verdana"/>
                <w:b/>
              </w:rPr>
            </w:pPr>
            <w:r>
              <w:rPr>
                <w:rFonts w:cs="Verdana" w:ascii="Verdana" w:hAnsi="Verdana"/>
                <w:b/>
              </w:rPr>
            </w:r>
          </w:p>
        </w:tc>
      </w:tr>
      <w:tr>
        <w:trPr/>
        <w:tc>
          <w:tcPr>
            <w:tcW w:w="11056" w:type="dxa"/>
            <w:gridSpan w:val="2"/>
            <w:tcBorders>
              <w:top w:val="single" w:sz="18" w:space="0" w:color="006666"/>
              <w:left w:val="single" w:sz="18" w:space="0" w:color="006666"/>
              <w:bottom w:val="single" w:sz="18" w:space="0" w:color="006666"/>
              <w:right w:val="single" w:sz="18" w:space="0" w:color="006666"/>
            </w:tcBorders>
          </w:tcPr>
          <w:p>
            <w:pPr>
              <w:pStyle w:val="Normal"/>
              <w:tabs>
                <w:tab w:val="left" w:pos="-720" w:leader="none"/>
                <w:tab w:val="left" w:pos="0" w:leader="none"/>
                <w:tab w:val="left" w:pos="244" w:leader="none"/>
                <w:tab w:val="left" w:pos="489" w:leader="none"/>
                <w:tab w:val="left" w:pos="720" w:leader="none"/>
                <w:tab w:val="left" w:pos="979" w:leader="none"/>
                <w:tab w:val="left" w:pos="1224" w:leader="none"/>
                <w:tab w:val="left" w:pos="1440" w:leader="none"/>
                <w:tab w:val="left" w:pos="1713" w:leader="none"/>
                <w:tab w:val="left" w:pos="1958" w:leader="none"/>
                <w:tab w:val="left" w:pos="2160" w:leader="none"/>
                <w:tab w:val="left" w:pos="2448" w:leader="none"/>
                <w:tab w:val="left" w:pos="2692"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 w:val="left" w:pos="9360" w:leader="none"/>
                <w:tab w:val="left" w:pos="10080" w:leader="none"/>
              </w:tabs>
              <w:rPr>
                <w:rFonts w:ascii="Verdana" w:hAnsi="Verdana" w:cs="Verdana"/>
                <w:b/>
                <w:sz w:val="22"/>
                <w:u w:val="single"/>
              </w:rPr>
            </w:pPr>
            <w:r>
              <w:rPr>
                <w:rFonts w:cs="Verdana" w:ascii="Verdana" w:hAnsi="Verdana"/>
                <w:b/>
                <w:sz w:val="22"/>
                <w:u w:val="single"/>
              </w:rPr>
              <w:t>SUMMARY OF RESPONSIBILITIES AND PERSONAL DUTIES:</w:t>
            </w:r>
          </w:p>
          <w:p>
            <w:pPr>
              <w:pStyle w:val="PlainText"/>
              <w:jc w:val="both"/>
              <w:rPr>
                <w:rFonts w:ascii="Verdana" w:hAnsi="Verdana" w:cs="Verdana"/>
                <w:sz w:val="22"/>
                <w:u w:val="single"/>
              </w:rPr>
            </w:pPr>
            <w:r>
              <w:rPr>
                <w:rFonts w:cs="Verdana" w:ascii="Verdana" w:hAnsi="Verdana"/>
                <w:sz w:val="22"/>
                <w:u w:val="single"/>
              </w:rPr>
              <w:t>KEY AREAS</w:t>
            </w:r>
          </w:p>
          <w:p>
            <w:pPr>
              <w:pStyle w:val="Heading5"/>
              <w:ind w:hanging="0" w:left="0"/>
              <w:rPr>
                <w:rFonts w:ascii="Verdana" w:hAnsi="Verdana" w:cs="Verdana"/>
                <w:sz w:val="20"/>
                <w:szCs w:val="20"/>
              </w:rPr>
            </w:pPr>
            <w:r>
              <w:rPr>
                <w:rFonts w:cs="Verdana" w:ascii="Verdana" w:hAnsi="Verdana"/>
                <w:sz w:val="20"/>
                <w:szCs w:val="20"/>
              </w:rPr>
              <w:t>General</w:t>
            </w:r>
          </w:p>
          <w:p>
            <w:pPr>
              <w:pStyle w:val="Normal"/>
              <w:jc w:val="both"/>
              <w:rPr>
                <w:rFonts w:ascii="Verdana" w:hAnsi="Verdana" w:cs="Verdana"/>
              </w:rPr>
            </w:pPr>
            <w:r>
              <w:rPr>
                <w:rFonts w:cs="Verdana" w:ascii="Verdana" w:hAnsi="Verdana"/>
              </w:rPr>
            </w:r>
          </w:p>
          <w:p>
            <w:pPr>
              <w:pStyle w:val="Normal"/>
              <w:numPr>
                <w:ilvl w:val="0"/>
                <w:numId w:val="2"/>
              </w:numPr>
              <w:jc w:val="both"/>
              <w:rPr/>
            </w:pPr>
            <w:r>
              <w:rPr>
                <w:rFonts w:cs="Verdana" w:ascii="Verdana" w:hAnsi="Verdana"/>
              </w:rPr>
              <w:t>To support the aims/ethos fostered in the school.</w:t>
            </w:r>
          </w:p>
          <w:p>
            <w:pPr>
              <w:pStyle w:val="Normal"/>
              <w:jc w:val="both"/>
              <w:rPr>
                <w:rFonts w:ascii="Verdana" w:hAnsi="Verdana" w:cs="Verdana"/>
              </w:rPr>
            </w:pPr>
            <w:r>
              <w:rPr>
                <w:rFonts w:cs="Verdana" w:ascii="Verdana" w:hAnsi="Verdana"/>
              </w:rPr>
            </w:r>
          </w:p>
          <w:p>
            <w:pPr>
              <w:pStyle w:val="Normal"/>
              <w:numPr>
                <w:ilvl w:val="0"/>
                <w:numId w:val="2"/>
              </w:numPr>
              <w:jc w:val="both"/>
              <w:rPr/>
            </w:pPr>
            <w:r>
              <w:rPr>
                <w:rFonts w:cs="Verdana" w:ascii="Verdana" w:hAnsi="Verdana"/>
              </w:rPr>
              <w:t>To fulfil administrative tasks which contribute to the daily smooth running of the school.</w:t>
            </w:r>
          </w:p>
          <w:p>
            <w:pPr>
              <w:pStyle w:val="Normal"/>
              <w:jc w:val="both"/>
              <w:rPr>
                <w:rFonts w:ascii="Verdana" w:hAnsi="Verdana" w:cs="Verdana"/>
              </w:rPr>
            </w:pPr>
            <w:r>
              <w:rPr>
                <w:rFonts w:cs="Verdana" w:ascii="Verdana" w:hAnsi="Verdana"/>
              </w:rPr>
            </w:r>
          </w:p>
          <w:p>
            <w:pPr>
              <w:pStyle w:val="Normal"/>
              <w:numPr>
                <w:ilvl w:val="0"/>
                <w:numId w:val="2"/>
              </w:numPr>
              <w:jc w:val="both"/>
              <w:rPr/>
            </w:pPr>
            <w:r>
              <w:rPr>
                <w:rFonts w:cs="Verdana" w:ascii="Verdana" w:hAnsi="Verdana"/>
              </w:rPr>
              <w:t>To co-ordinate, with the Headteacher, individual staff contributions to curriculum development in areas of responsibility.</w:t>
            </w:r>
          </w:p>
          <w:p>
            <w:pPr>
              <w:pStyle w:val="Normal"/>
              <w:jc w:val="both"/>
              <w:rPr>
                <w:rFonts w:ascii="Verdana" w:hAnsi="Verdana" w:cs="Verdana"/>
              </w:rPr>
            </w:pPr>
            <w:r>
              <w:rPr>
                <w:rFonts w:cs="Verdana" w:ascii="Verdana" w:hAnsi="Verdana"/>
              </w:rPr>
            </w:r>
          </w:p>
          <w:p>
            <w:pPr>
              <w:pStyle w:val="Normal"/>
              <w:numPr>
                <w:ilvl w:val="0"/>
                <w:numId w:val="2"/>
              </w:numPr>
              <w:jc w:val="both"/>
              <w:rPr/>
            </w:pPr>
            <w:r>
              <w:rPr>
                <w:rFonts w:cs="Verdana" w:ascii="Verdana" w:hAnsi="Verdana"/>
              </w:rPr>
              <w:t>To provide quality in all learning experiences of the children in your care.</w:t>
            </w:r>
          </w:p>
          <w:p>
            <w:pPr>
              <w:pStyle w:val="Normal"/>
              <w:jc w:val="both"/>
              <w:rPr>
                <w:rFonts w:ascii="Verdana" w:hAnsi="Verdana" w:cs="Verdana"/>
              </w:rPr>
            </w:pPr>
            <w:r>
              <w:rPr>
                <w:rFonts w:cs="Verdana" w:ascii="Verdana" w:hAnsi="Verdana"/>
              </w:rPr>
            </w:r>
          </w:p>
          <w:p>
            <w:pPr>
              <w:pStyle w:val="Normal"/>
              <w:numPr>
                <w:ilvl w:val="0"/>
                <w:numId w:val="2"/>
              </w:numPr>
              <w:jc w:val="both"/>
              <w:rPr/>
            </w:pPr>
            <w:r>
              <w:rPr>
                <w:rFonts w:cs="Verdana" w:ascii="Verdana" w:hAnsi="Verdana"/>
              </w:rPr>
              <w:t>To contribute to the corporate nature of school life and discipline.</w:t>
            </w:r>
          </w:p>
          <w:p>
            <w:pPr>
              <w:pStyle w:val="Normal"/>
              <w:jc w:val="both"/>
              <w:rPr>
                <w:rFonts w:ascii="Verdana" w:hAnsi="Verdana" w:cs="Verdana"/>
              </w:rPr>
            </w:pPr>
            <w:r>
              <w:rPr>
                <w:rFonts w:cs="Verdana" w:ascii="Verdana" w:hAnsi="Verdana"/>
              </w:rPr>
            </w:r>
          </w:p>
          <w:p>
            <w:pPr>
              <w:pStyle w:val="Normal"/>
              <w:numPr>
                <w:ilvl w:val="0"/>
                <w:numId w:val="2"/>
              </w:numPr>
              <w:jc w:val="both"/>
              <w:rPr/>
            </w:pPr>
            <w:r>
              <w:rPr>
                <w:rFonts w:cs="Verdana" w:ascii="Verdana" w:hAnsi="Verdana"/>
              </w:rPr>
              <w:t xml:space="preserve">To support extra-curricular </w:t>
            </w:r>
            <w:r>
              <w:rPr>
                <w:rFonts w:cs="Verdana" w:ascii="Verdana" w:hAnsi="Verdana"/>
                <w:shd w:fill="FFFFFF" w:val="clear"/>
              </w:rPr>
              <w:t>activities.</w:t>
            </w:r>
          </w:p>
          <w:p>
            <w:pPr>
              <w:pStyle w:val="ListParagraph"/>
              <w:rPr>
                <w:rFonts w:ascii="Verdana" w:hAnsi="Verdana" w:cs="Verdana"/>
              </w:rPr>
            </w:pPr>
            <w:r>
              <w:rPr>
                <w:rFonts w:cs="Verdana" w:ascii="Verdana" w:hAnsi="Verdana"/>
              </w:rPr>
            </w:r>
          </w:p>
          <w:p>
            <w:pPr>
              <w:pStyle w:val="Normal"/>
              <w:numPr>
                <w:ilvl w:val="0"/>
                <w:numId w:val="2"/>
              </w:numPr>
              <w:jc w:val="both"/>
              <w:rPr/>
            </w:pPr>
            <w:r>
              <w:rPr>
                <w:rFonts w:cs="Verdana" w:ascii="Verdana" w:hAnsi="Verdana"/>
              </w:rPr>
              <w:t>To support the school’s residential trips.</w:t>
            </w:r>
          </w:p>
          <w:p>
            <w:pPr>
              <w:pStyle w:val="Normal"/>
              <w:jc w:val="both"/>
              <w:rPr>
                <w:rFonts w:ascii="Verdana" w:hAnsi="Verdana" w:cs="Verdana"/>
              </w:rPr>
            </w:pPr>
            <w:r>
              <w:rPr>
                <w:rFonts w:cs="Verdana" w:ascii="Verdana" w:hAnsi="Verdana"/>
              </w:rPr>
            </w:r>
          </w:p>
          <w:p>
            <w:pPr>
              <w:pStyle w:val="Heading5"/>
              <w:ind w:hanging="0" w:left="0"/>
              <w:rPr>
                <w:rFonts w:ascii="Verdana" w:hAnsi="Verdana" w:cs="Verdana"/>
                <w:sz w:val="20"/>
                <w:szCs w:val="20"/>
              </w:rPr>
            </w:pPr>
            <w:r>
              <w:rPr>
                <w:rFonts w:cs="Verdana" w:ascii="Verdana" w:hAnsi="Verdana"/>
                <w:sz w:val="20"/>
                <w:szCs w:val="20"/>
              </w:rPr>
              <w:t>B.</w:t>
              <w:tab/>
              <w:t>Curriculum</w:t>
            </w:r>
          </w:p>
          <w:p>
            <w:pPr>
              <w:pStyle w:val="Normal"/>
              <w:jc w:val="both"/>
              <w:rPr>
                <w:rFonts w:ascii="Verdana" w:hAnsi="Verdana" w:cs="Verdana"/>
              </w:rPr>
            </w:pPr>
            <w:r>
              <w:rPr>
                <w:rFonts w:cs="Verdana" w:ascii="Verdana" w:hAnsi="Verdana"/>
              </w:rPr>
            </w:r>
          </w:p>
          <w:p>
            <w:pPr>
              <w:pStyle w:val="Normal"/>
              <w:numPr>
                <w:ilvl w:val="0"/>
                <w:numId w:val="3"/>
              </w:numPr>
              <w:jc w:val="both"/>
              <w:rPr/>
            </w:pPr>
            <w:r>
              <w:rPr>
                <w:rFonts w:cs="Verdana" w:ascii="Verdana" w:hAnsi="Verdana"/>
              </w:rPr>
              <w:t>To lead, initiate, research and plan school curriculum developments.</w:t>
            </w:r>
          </w:p>
          <w:p>
            <w:pPr>
              <w:pStyle w:val="Normal"/>
              <w:ind w:left="720" w:right="0"/>
              <w:jc w:val="both"/>
              <w:rPr>
                <w:rFonts w:ascii="Verdana" w:hAnsi="Verdana" w:cs="Verdana"/>
              </w:rPr>
            </w:pPr>
            <w:r>
              <w:rPr>
                <w:rFonts w:cs="Verdana" w:ascii="Verdana" w:hAnsi="Verdana"/>
              </w:rPr>
            </w:r>
          </w:p>
          <w:p>
            <w:pPr>
              <w:pStyle w:val="Normal"/>
              <w:numPr>
                <w:ilvl w:val="0"/>
                <w:numId w:val="3"/>
              </w:numPr>
              <w:jc w:val="both"/>
              <w:rPr/>
            </w:pPr>
            <w:r>
              <w:rPr>
                <w:rFonts w:cs="Verdana" w:ascii="Verdana" w:hAnsi="Verdana"/>
              </w:rPr>
              <w:t>To set a high standard in your own class, which can be used as a guide to expectation and a model of good practice.</w:t>
            </w:r>
          </w:p>
          <w:p>
            <w:pPr>
              <w:pStyle w:val="Normal"/>
              <w:jc w:val="both"/>
              <w:rPr>
                <w:rFonts w:ascii="Verdana" w:hAnsi="Verdana" w:cs="Verdana"/>
              </w:rPr>
            </w:pPr>
            <w:r>
              <w:rPr>
                <w:rFonts w:cs="Verdana" w:ascii="Verdana" w:hAnsi="Verdana"/>
              </w:rPr>
            </w:r>
          </w:p>
          <w:p>
            <w:pPr>
              <w:pStyle w:val="Normal"/>
              <w:numPr>
                <w:ilvl w:val="0"/>
                <w:numId w:val="3"/>
              </w:numPr>
              <w:jc w:val="both"/>
              <w:rPr/>
            </w:pPr>
            <w:r>
              <w:rPr>
                <w:rFonts w:cs="Verdana" w:ascii="Verdana" w:hAnsi="Verdana"/>
              </w:rPr>
              <w:t>To provide help and guidance for all colleagues (whether new to school or not) in planning, monitoring and assessing children’s work for your curricular area of responsibility.</w:t>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numPr>
                <w:ilvl w:val="0"/>
                <w:numId w:val="3"/>
              </w:numPr>
              <w:jc w:val="both"/>
              <w:rPr/>
            </w:pPr>
            <w:r>
              <w:rPr>
                <w:rFonts w:cs="Verdana" w:ascii="Verdana" w:hAnsi="Verdana"/>
              </w:rPr>
              <w:t>To lead staff meetings to discuss the area of responsibility, in order to facilitate a good understanding and utilisation of school policy through guidelines and schemes of work.</w:t>
            </w:r>
          </w:p>
          <w:p>
            <w:pPr>
              <w:pStyle w:val="Normal"/>
              <w:jc w:val="both"/>
              <w:rPr>
                <w:rFonts w:ascii="Verdana" w:hAnsi="Verdana" w:cs="Verdana"/>
              </w:rPr>
            </w:pPr>
            <w:r>
              <w:rPr>
                <w:rFonts w:cs="Verdana" w:ascii="Verdana" w:hAnsi="Verdana"/>
              </w:rPr>
            </w:r>
          </w:p>
          <w:p>
            <w:pPr>
              <w:pStyle w:val="Normal"/>
              <w:numPr>
                <w:ilvl w:val="0"/>
                <w:numId w:val="3"/>
              </w:numPr>
              <w:jc w:val="both"/>
              <w:rPr/>
            </w:pPr>
            <w:r>
              <w:rPr>
                <w:rFonts w:cs="Verdana" w:ascii="Verdana" w:hAnsi="Verdana"/>
              </w:rPr>
              <w:t>To upkeep and update resources and equipment for use throughout the school and to be responsible for the budget allocation for that particular area.</w:t>
            </w:r>
          </w:p>
          <w:p>
            <w:pPr>
              <w:pStyle w:val="Normal"/>
              <w:jc w:val="both"/>
              <w:rPr>
                <w:rFonts w:ascii="Verdana" w:hAnsi="Verdana" w:cs="Verdana"/>
              </w:rPr>
            </w:pPr>
            <w:r>
              <w:rPr>
                <w:rFonts w:cs="Verdana" w:ascii="Verdana" w:hAnsi="Verdana"/>
              </w:rPr>
            </w:r>
          </w:p>
          <w:p>
            <w:pPr>
              <w:pStyle w:val="Normal"/>
              <w:numPr>
                <w:ilvl w:val="0"/>
                <w:numId w:val="3"/>
              </w:numPr>
              <w:jc w:val="both"/>
              <w:rPr/>
            </w:pPr>
            <w:r>
              <w:rPr>
                <w:rFonts w:cs="Verdana" w:ascii="Verdana" w:hAnsi="Verdana"/>
              </w:rPr>
              <w:t>To co-ordinate displays in school which promote and enhance curriculum activity for which responsibility has been given.</w:t>
            </w:r>
          </w:p>
          <w:p>
            <w:pPr>
              <w:pStyle w:val="Normal"/>
              <w:jc w:val="both"/>
              <w:rPr>
                <w:rFonts w:ascii="Verdana" w:hAnsi="Verdana" w:cs="Verdana"/>
              </w:rPr>
            </w:pPr>
            <w:r>
              <w:rPr>
                <w:rFonts w:cs="Verdana" w:ascii="Verdana" w:hAnsi="Verdana"/>
              </w:rPr>
            </w:r>
          </w:p>
          <w:p>
            <w:pPr>
              <w:pStyle w:val="Normal"/>
              <w:numPr>
                <w:ilvl w:val="0"/>
                <w:numId w:val="3"/>
              </w:numPr>
              <w:jc w:val="both"/>
              <w:rPr/>
            </w:pPr>
            <w:r>
              <w:rPr>
                <w:rFonts w:cs="Verdana" w:ascii="Verdana" w:hAnsi="Verdana"/>
              </w:rPr>
              <w:t>To report to the Headteacher and Governing Body as and when required to keep them fully informed of all activities related to the curriculum area for which responsibility has been given.</w:t>
            </w:r>
          </w:p>
          <w:p>
            <w:pPr>
              <w:pStyle w:val="Normal"/>
              <w:jc w:val="both"/>
              <w:rPr>
                <w:rFonts w:ascii="Verdana" w:hAnsi="Verdana" w:cs="Verdana"/>
              </w:rPr>
            </w:pPr>
            <w:r>
              <w:rPr>
                <w:rFonts w:cs="Verdana" w:ascii="Verdana" w:hAnsi="Verdana"/>
              </w:rPr>
            </w:r>
          </w:p>
          <w:p>
            <w:pPr>
              <w:pStyle w:val="Normal"/>
              <w:numPr>
                <w:ilvl w:val="0"/>
                <w:numId w:val="3"/>
              </w:numPr>
              <w:jc w:val="both"/>
              <w:rPr/>
            </w:pPr>
            <w:r>
              <w:rPr>
                <w:rFonts w:cs="Verdana" w:ascii="Verdana" w:hAnsi="Verdana"/>
              </w:rPr>
              <w:t>To call in evidence of children’s work, to evaluate continuity, progression, marking and presentational skills.</w:t>
            </w:r>
          </w:p>
          <w:p>
            <w:pPr>
              <w:pStyle w:val="Normal"/>
              <w:ind w:left="720" w:right="0"/>
              <w:rPr>
                <w:rFonts w:ascii="Verdana" w:hAnsi="Verdana" w:cs="Verdana"/>
              </w:rPr>
            </w:pPr>
            <w:r>
              <w:rPr>
                <w:rFonts w:cs="Verdana" w:ascii="Verdana" w:hAnsi="Verdana"/>
              </w:rPr>
            </w:r>
          </w:p>
        </w:tc>
      </w:tr>
      <w:tr>
        <w:trPr/>
        <w:tc>
          <w:tcPr>
            <w:tcW w:w="11056" w:type="dxa"/>
            <w:gridSpan w:val="2"/>
            <w:tcBorders>
              <w:top w:val="single" w:sz="18" w:space="0" w:color="006666"/>
              <w:left w:val="single" w:sz="18" w:space="0" w:color="006666"/>
              <w:bottom w:val="single" w:sz="18" w:space="0" w:color="006666"/>
              <w:right w:val="single" w:sz="18" w:space="0" w:color="006666"/>
            </w:tcBorders>
          </w:tcPr>
          <w:p>
            <w:pPr>
              <w:pStyle w:val="Normal"/>
              <w:snapToGrid w:val="false"/>
              <w:ind w:left="34" w:right="317"/>
              <w:jc w:val="both"/>
              <w:rPr>
                <w:rFonts w:ascii="Verdana" w:hAnsi="Verdana" w:cs="Verdana"/>
                <w:lang w:val="en-US"/>
              </w:rPr>
            </w:pPr>
            <w:r>
              <w:rPr>
                <w:rFonts w:cs="Verdana" w:ascii="Verdana" w:hAnsi="Verdana"/>
                <w:lang w:val="en-US"/>
              </w:rPr>
            </w:r>
          </w:p>
          <w:p>
            <w:pPr>
              <w:pStyle w:val="Normal"/>
              <w:ind w:left="34" w:right="317"/>
              <w:jc w:val="both"/>
              <w:rPr>
                <w:rFonts w:ascii="Verdana" w:hAnsi="Verdana" w:cs="Verdana"/>
                <w:lang w:val="en-US"/>
              </w:rPr>
            </w:pPr>
            <w:r>
              <w:rPr>
                <w:rFonts w:cs="Verdana" w:ascii="Verdana" w:hAnsi="Verdana"/>
                <w:lang w:val="en-US"/>
              </w:rPr>
              <w:t>This Council is committed to safeguarding and promoting the welfare of children and young people and expects all staff within this area to share this commitment and to have understanding of the common core skills and knowledge.</w:t>
            </w:r>
          </w:p>
          <w:p>
            <w:pPr>
              <w:pStyle w:val="Level1"/>
              <w:jc w:val="both"/>
              <w:rPr>
                <w:rFonts w:ascii="Verdana" w:hAnsi="Verdana" w:cs="Verdana"/>
                <w:sz w:val="20"/>
              </w:rPr>
            </w:pPr>
            <w:r>
              <w:rPr>
                <w:rFonts w:cs="Verdana" w:ascii="Verdana" w:hAnsi="Verdana"/>
                <w:sz w:val="20"/>
              </w:rPr>
            </w:r>
          </w:p>
          <w:p>
            <w:pPr>
              <w:pStyle w:val="Level1"/>
              <w:jc w:val="both"/>
              <w:rPr>
                <w:rFonts w:ascii="Verdana" w:hAnsi="Verdana" w:cs="Verdana"/>
                <w:sz w:val="20"/>
              </w:rPr>
            </w:pPr>
            <w:r>
              <w:rPr>
                <w:rFonts w:cs="Verdana" w:ascii="Verdana" w:hAnsi="Verdana"/>
                <w:sz w:val="20"/>
              </w:rPr>
              <w:t>To work positively and inclusively with colleagues and customers so that the Council provides a workplace and delivers services that do not discriminate against people on the ground of their age, sexuality, religion or belief, race, gender or disabilities.</w:t>
            </w:r>
          </w:p>
          <w:p>
            <w:pPr>
              <w:pStyle w:val="Level1"/>
              <w:jc w:val="both"/>
              <w:rPr>
                <w:rFonts w:ascii="Verdana" w:hAnsi="Verdana" w:cs="Verdana"/>
                <w:sz w:val="20"/>
              </w:rPr>
            </w:pPr>
            <w:r>
              <w:rPr>
                <w:rFonts w:cs="Verdana" w:ascii="Verdana" w:hAnsi="Verdana"/>
                <w:sz w:val="20"/>
              </w:rPr>
            </w:r>
          </w:p>
          <w:p>
            <w:pPr>
              <w:pStyle w:val="Level1"/>
              <w:jc w:val="both"/>
              <w:rPr>
                <w:rFonts w:ascii="Verdana" w:hAnsi="Verdana" w:cs="Verdana"/>
                <w:sz w:val="20"/>
              </w:rPr>
            </w:pPr>
            <w:r>
              <w:rPr>
                <w:rFonts w:cs="Verdana" w:ascii="Verdana" w:hAnsi="Verdana"/>
                <w:sz w:val="20"/>
              </w:rPr>
              <w:t>To fulfill personal requirements, where appropriate, with regard to Council/School policies and procedures, including but not limited to safeguarding, health, safety and welfare, customer care, emergency, evacuation, security and promotion of the School’s priorities.</w:t>
            </w:r>
          </w:p>
          <w:p>
            <w:pPr>
              <w:pStyle w:val="Level1"/>
              <w:jc w:val="both"/>
              <w:rPr>
                <w:rFonts w:ascii="Verdana" w:hAnsi="Verdana" w:cs="Verdana"/>
                <w:sz w:val="20"/>
              </w:rPr>
            </w:pPr>
            <w:r>
              <w:rPr>
                <w:rFonts w:cs="Verdana" w:ascii="Verdana" w:hAnsi="Verdana"/>
                <w:sz w:val="20"/>
              </w:rPr>
            </w:r>
          </w:p>
          <w:p>
            <w:pPr>
              <w:pStyle w:val="Normal"/>
              <w:rPr>
                <w:rFonts w:ascii="Verdana" w:hAnsi="Verdana" w:cs="Verdana"/>
              </w:rPr>
            </w:pPr>
            <w:r>
              <w:rPr>
                <w:rFonts w:cs="Verdana" w:ascii="Verdana" w:hAnsi="Verdana"/>
              </w:rPr>
              <w:t>To work flexibly in the interests of the school. This may include undertaking other duties provided that these are appropriate to the employee’s background, skills and abilities. Where this occurs, there will be consultation with the employee and any necessary personal development will be considered.</w:t>
            </w:r>
          </w:p>
          <w:p>
            <w:pPr>
              <w:pStyle w:val="Normal"/>
              <w:rPr/>
            </w:pPr>
            <w:r>
              <w:rPr/>
            </w:r>
          </w:p>
        </w:tc>
      </w:tr>
    </w:tbl>
    <w:p>
      <w:pPr>
        <w:pStyle w:val="Normal"/>
        <w:jc w:val="both"/>
        <w:rPr>
          <w:rFonts w:ascii="Arial" w:hAnsi="Arial" w:cs="Arial"/>
          <w:sz w:val="23"/>
        </w:rPr>
      </w:pPr>
      <w:r>
        <w:rPr>
          <w:rFonts w:cs="Arial" w:ascii="Arial" w:hAnsi="Arial"/>
          <w:sz w:val="23"/>
        </w:rPr>
      </w:r>
    </w:p>
    <w:p>
      <w:pPr>
        <w:pStyle w:val="Normal"/>
        <w:jc w:val="both"/>
        <w:rPr>
          <w:rFonts w:ascii="Arial" w:hAnsi="Arial" w:cs="Arial"/>
          <w:sz w:val="23"/>
        </w:rPr>
      </w:pPr>
      <w:r>
        <w:rPr>
          <w:rFonts w:cs="Arial" w:ascii="Arial" w:hAnsi="Arial"/>
          <w:sz w:val="23"/>
        </w:rPr>
      </w:r>
    </w:p>
    <w:p>
      <w:pPr>
        <w:pStyle w:val="Normal"/>
        <w:jc w:val="both"/>
        <w:rPr>
          <w:rFonts w:ascii="Arial" w:hAnsi="Arial" w:cs="Arial"/>
          <w:sz w:val="23"/>
        </w:rPr>
      </w:pPr>
      <w:r>
        <w:rPr>
          <w:rFonts w:cs="Arial" w:ascii="Arial" w:hAnsi="Arial"/>
          <w:sz w:val="23"/>
        </w:rPr>
      </w:r>
    </w:p>
    <w:p>
      <w:pPr>
        <w:pStyle w:val="Normal"/>
        <w:jc w:val="both"/>
        <w:rPr>
          <w:rFonts w:ascii="Arial" w:hAnsi="Arial" w:cs="Arial"/>
          <w:sz w:val="23"/>
        </w:rPr>
      </w:pPr>
      <w:r>
        <w:rPr>
          <w:rFonts w:cs="Arial" w:ascii="Arial" w:hAnsi="Arial"/>
          <w:sz w:val="23"/>
        </w:rPr>
        <w:t>Signed:  ….…………………… (Teacher)</w:t>
        <w:tab/>
        <w:t>Signed:  ……………………….. (Headteacher)</w:t>
      </w:r>
    </w:p>
    <w:p>
      <w:pPr>
        <w:pStyle w:val="Normal"/>
        <w:jc w:val="both"/>
        <w:rPr>
          <w:rFonts w:ascii="Arial" w:hAnsi="Arial" w:cs="Arial"/>
          <w:sz w:val="23"/>
        </w:rPr>
      </w:pPr>
      <w:r>
        <w:rPr>
          <w:rFonts w:cs="Arial" w:ascii="Arial" w:hAnsi="Arial"/>
          <w:sz w:val="23"/>
        </w:rPr>
      </w:r>
    </w:p>
    <w:p>
      <w:pPr>
        <w:pStyle w:val="Normal"/>
        <w:jc w:val="both"/>
        <w:rPr>
          <w:rFonts w:ascii="Arial" w:hAnsi="Arial" w:cs="Arial"/>
          <w:sz w:val="23"/>
        </w:rPr>
      </w:pPr>
      <w:r>
        <w:rPr>
          <w:rFonts w:cs="Arial" w:ascii="Arial" w:hAnsi="Arial"/>
          <w:sz w:val="23"/>
        </w:rPr>
      </w:r>
    </w:p>
    <w:p>
      <w:pPr>
        <w:pStyle w:val="Normal"/>
        <w:jc w:val="both"/>
        <w:rPr>
          <w:rFonts w:ascii="Arial" w:hAnsi="Arial" w:cs="Arial"/>
          <w:sz w:val="23"/>
        </w:rPr>
      </w:pPr>
      <w:r>
        <w:rPr>
          <w:rFonts w:cs="Arial" w:ascii="Arial" w:hAnsi="Arial"/>
          <w:sz w:val="23"/>
        </w:rPr>
        <w:t>Date:</w:t>
        <w:tab/>
        <w:t xml:space="preserve">    ………………………</w:t>
        <w:tab/>
        <w:tab/>
        <w:t>Date:</w:t>
        <w:tab/>
        <w:t xml:space="preserve">    ………………………..</w:t>
      </w:r>
    </w:p>
    <w:p>
      <w:pPr>
        <w:pStyle w:val="Normal"/>
        <w:jc w:val="both"/>
        <w:rPr>
          <w:rFonts w:ascii="Arial" w:hAnsi="Arial" w:cs="Arial"/>
          <w:sz w:val="23"/>
        </w:rPr>
      </w:pPr>
      <w:r>
        <w:rPr>
          <w:rFonts w:cs="Arial" w:ascii="Arial" w:hAnsi="Arial"/>
          <w:sz w:val="23"/>
        </w:rPr>
      </w:r>
    </w:p>
    <w:p>
      <w:pPr>
        <w:pStyle w:val="Normal"/>
        <w:rPr>
          <w:rFonts w:ascii="Arial" w:hAnsi="Arial" w:cs="Arial"/>
          <w:sz w:val="23"/>
        </w:rPr>
      </w:pPr>
      <w:r>
        <w:rPr>
          <w:rFonts w:cs="Arial" w:ascii="Arial" w:hAnsi="Arial"/>
          <w:sz w:val="23"/>
        </w:rPr>
      </w:r>
    </w:p>
    <w:sectPr>
      <w:footerReference w:type="default" r:id="rId5"/>
      <w:type w:val="nextPage"/>
      <w:pgSz w:w="11906" w:h="16838"/>
      <w:pgMar w:left="425" w:right="567" w:gutter="0" w:header="0" w:top="425" w:footer="313" w:bottom="851"/>
      <w:pgNumType w:fmt="decimal"/>
      <w:formProt w:val="false"/>
      <w:textDirection w:val="lrTb"/>
      <w:docGrid w:type="default" w:linePitch="10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imes">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 w:name="Courier New">
    <w:charset w:val="00"/>
    <w:family w:val="roman"/>
    <w:pitch w:val="variable"/>
  </w:font>
  <w:font w:name="Tahoma">
    <w:charset w:val="00"/>
    <w:family w:val="roman"/>
    <w:pitch w:val="variable"/>
  </w:font>
  <w:font w:name="Verdana">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r>
      <mc:AlternateContent>
        <mc:Choice Requires="wps">
          <w:drawing>
            <wp:anchor behindDoc="0" distT="0" distB="0" distL="0" distR="0" simplePos="0" locked="0" layoutInCell="0" allowOverlap="1" relativeHeight="4">
              <wp:simplePos x="0" y="0"/>
              <wp:positionH relativeFrom="margin">
                <wp:align>center</wp:align>
              </wp:positionH>
              <wp:positionV relativeFrom="paragraph">
                <wp:posOffset>635</wp:posOffset>
              </wp:positionV>
              <wp:extent cx="63500" cy="146050"/>
              <wp:effectExtent l="0" t="0" r="0" b="0"/>
              <wp:wrapSquare wrapText="largest"/>
              <wp:docPr id="6" name="Frame2"/>
              <a:graphic xmlns:a="http://schemas.openxmlformats.org/drawingml/2006/main">
                <a:graphicData uri="http://schemas.microsoft.com/office/word/2010/wordprocessingShape">
                  <wps:wsp>
                    <wps:cNvSpPr txBox="1"/>
                    <wps:spPr>
                      <a:xfrm>
                        <a:off x="0" y="0"/>
                        <a:ext cx="63500" cy="146050"/>
                      </a:xfrm>
                      <a:prstGeom prst="rect"/>
                      <a:solidFill>
                        <a:srgbClr val="FFFFFF">
                          <a:alpha val="0"/>
                        </a:srgbClr>
                      </a:solidFill>
                    </wps:spPr>
                    <wps:txbx>
                      <w:txbxContent>
                        <w:p>
                          <w:pPr>
                            <w:pStyle w:val="Footer"/>
                            <w:pBd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txbxContent>
                    </wps:txbx>
                    <wps:bodyPr anchor="t" lIns="635" tIns="635" rIns="635" bIns="635">
                      <a:noAutofit/>
                    </wps:bodyPr>
                  </wps:wsp>
                </a:graphicData>
              </a:graphic>
            </wp:anchor>
          </w:drawing>
        </mc:Choice>
        <mc:Fallback>
          <w:pict>
            <v:rect fillcolor="#FFFFFF" style="position:absolute;rotation:-0;width:5pt;height:11.5pt;mso-wrap-distance-left:0pt;mso-wrap-distance-right:0pt;mso-wrap-distance-top:0pt;mso-wrap-distance-bottom:0pt;margin-top:0.05pt;mso-position-vertical-relative:text;margin-left:270.35pt;mso-position-horizontal:center;mso-position-horizontal-relative:margin">
              <v:fill opacity="0f"/>
              <v:textbox inset="0.000694444444444445in,0.000694444444444445in,0.000694444444444445in,0.000694444444444445in">
                <w:txbxContent>
                  <w:p>
                    <w:pPr>
                      <w:pStyle w:val="Footer"/>
                      <w:pBd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txbxContent>
              </v:textbox>
              <w10:wrap type="square" side="largest"/>
            </v:rect>
          </w:pict>
        </mc:Fallback>
      </mc:AlternateConten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pStyle w:val="Heading5"/>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lowerRoman"/>
      <w:lvlText w:val="(%1)"/>
      <w:lvlJc w:val="left"/>
      <w:pPr>
        <w:tabs>
          <w:tab w:val="num" w:pos="1440"/>
        </w:tabs>
        <w:ind w:left="1440" w:hanging="720"/>
      </w:pPr>
    </w:lvl>
    <w:lvl w:ilvl="1">
      <w:start w:val="2"/>
      <w:numFmt w:val="upperLetter"/>
      <w:lvlText w:val="%2."/>
      <w:lvlJc w:val="left"/>
      <w:pPr>
        <w:tabs>
          <w:tab w:val="num" w:pos="2160"/>
        </w:tabs>
        <w:ind w:left="2160" w:hanging="72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3">
    <w:lvl w:ilvl="0">
      <w:start w:val="1"/>
      <w:numFmt w:val="lowerRoman"/>
      <w:lvlText w:val="(%1)"/>
      <w:lvlJc w:val="left"/>
      <w:pPr>
        <w:tabs>
          <w:tab w:val="num" w:pos="1440"/>
        </w:tabs>
        <w:ind w:left="1440" w:hanging="720"/>
      </w:p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Times New Roman" w:hAnsi="Times New Roman" w:eastAsia="Times New Roman" w:cs="Times New Roman"/>
      <w:color w:val="auto"/>
      <w:kern w:val="0"/>
      <w:sz w:val="20"/>
      <w:szCs w:val="20"/>
      <w:lang w:val="en-GB" w:eastAsia="en-US" w:bidi="ar-SA"/>
    </w:rPr>
  </w:style>
  <w:style w:type="paragraph" w:styleId="Heading2">
    <w:name w:val="Heading 2"/>
    <w:basedOn w:val="Normal"/>
    <w:next w:val="Normal"/>
    <w:qFormat/>
    <w:pPr>
      <w:keepNext w:val="true"/>
      <w:numPr>
        <w:ilvl w:val="1"/>
        <w:numId w:val="1"/>
      </w:numPr>
      <w:jc w:val="both"/>
      <w:outlineLvl w:val="1"/>
    </w:pPr>
    <w:rPr>
      <w:rFonts w:ascii="Times;Times New Roman" w:hAnsi="Times;Times New Roman" w:cs="Times;Times New Roman"/>
      <w:sz w:val="24"/>
      <w:u w:val="single"/>
    </w:rPr>
  </w:style>
  <w:style w:type="paragraph" w:styleId="Heading5">
    <w:name w:val="Heading 5"/>
    <w:basedOn w:val="Normal"/>
    <w:next w:val="Normal"/>
    <w:qFormat/>
    <w:pPr>
      <w:numPr>
        <w:ilvl w:val="4"/>
        <w:numId w:val="1"/>
      </w:numPr>
      <w:spacing w:before="240" w:after="60"/>
      <w:outlineLvl w:val="4"/>
    </w:pPr>
    <w:rPr>
      <w:rFonts w:ascii="Calibri" w:hAnsi="Calibri" w:cs="Calibri"/>
      <w:b/>
      <w:bCs/>
      <w:i/>
      <w:iCs/>
      <w:sz w:val="26"/>
      <w:szCs w:val="26"/>
    </w:rPr>
  </w:style>
  <w:style w:type="character" w:styleId="DefaultParagraphFont">
    <w:name w:val="Default Paragraph Font"/>
    <w:qFormat/>
    <w:rPr/>
  </w:style>
  <w:style w:type="character" w:styleId="pagenumber">
    <w:name w:val="page number"/>
    <w:basedOn w:val="DefaultParagraphFont"/>
    <w:qFormat/>
    <w:rPr/>
  </w:style>
  <w:style w:type="character" w:styleId="Heading5Char">
    <w:name w:val="Heading 5 Char"/>
    <w:qFormat/>
    <w:rPr>
      <w:rFonts w:ascii="Calibri" w:hAnsi="Calibri" w:eastAsia="Times New Roman" w:cs="Times New Roman"/>
      <w:b/>
      <w:bCs/>
      <w:i/>
      <w:iCs/>
      <w:sz w:val="26"/>
      <w:szCs w:val="26"/>
      <w:lang w:eastAsia="en-US"/>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BodyText"/>
    <w:qFormat/>
    <w:pPr>
      <w:jc w:val="center"/>
    </w:pPr>
    <w:rPr>
      <w:rFonts w:ascii="Arial" w:hAnsi="Arial" w:cs="Arial"/>
      <w:b/>
      <w:sz w:val="32"/>
      <w:u w:val="single"/>
    </w:rPr>
  </w:style>
  <w:style w:type="paragraph" w:styleId="Level1">
    <w:name w:val="Level 1"/>
    <w:qFormat/>
    <w:pPr>
      <w:widowControl w:val="false"/>
      <w:suppressAutoHyphens w:val="true"/>
      <w:bidi w:val="0"/>
      <w:spacing w:before="0" w:after="0"/>
      <w:jc w:val="left"/>
    </w:pPr>
    <w:rPr>
      <w:rFonts w:ascii="Times New Roman" w:hAnsi="Times New Roman" w:eastAsia="Times New Roman" w:cs="Times New Roman"/>
      <w:color w:val="auto"/>
      <w:kern w:val="0"/>
      <w:sz w:val="24"/>
      <w:szCs w:val="20"/>
      <w:lang w:val="en-US" w:eastAsia="en-US" w:bidi="ar-SA"/>
    </w:rPr>
  </w:style>
  <w:style w:type="paragraph" w:styleId="PlainText">
    <w:name w:val="Plain Text"/>
    <w:basedOn w:val="Normal"/>
    <w:qFormat/>
    <w:pPr/>
    <w:rPr>
      <w:rFonts w:ascii="Courier New" w:hAnsi="Courier New" w:cs="Courier New"/>
    </w:rPr>
  </w:style>
  <w:style w:type="paragraph" w:styleId="HeaderandFooter">
    <w:name w:val="Header and Footer"/>
    <w:basedOn w:val="Normal"/>
    <w:qFormat/>
    <w:pPr/>
    <w:rPr/>
  </w:style>
  <w:style w:type="paragraph" w:styleId="Footer">
    <w:name w:val="Footer"/>
    <w:basedOn w:val="Normal"/>
    <w:pPr>
      <w:tabs>
        <w:tab w:val="clear" w:pos="720"/>
        <w:tab w:val="center" w:pos="4153" w:leader="none"/>
        <w:tab w:val="right" w:pos="8306" w:leader="none"/>
      </w:tabs>
    </w:pPr>
    <w:rPr/>
  </w:style>
  <w:style w:type="paragraph" w:styleId="BalloonText">
    <w:name w:val="Balloon Text"/>
    <w:basedOn w:val="Normal"/>
    <w:qFormat/>
    <w:pPr/>
    <w:rPr>
      <w:rFonts w:ascii="Tahoma" w:hAnsi="Tahoma" w:cs="Tahoma"/>
      <w:sz w:val="16"/>
      <w:szCs w:val="16"/>
    </w:rPr>
  </w:style>
  <w:style w:type="paragraph" w:styleId="Header">
    <w:name w:val="Header"/>
    <w:basedOn w:val="Normal"/>
    <w:pPr>
      <w:tabs>
        <w:tab w:val="clear" w:pos="720"/>
        <w:tab w:val="center" w:pos="4153" w:leader="none"/>
        <w:tab w:val="right" w:pos="8306" w:leader="none"/>
      </w:tabs>
    </w:pPr>
    <w:rPr/>
  </w:style>
  <w:style w:type="paragraph" w:styleId="ListParagraph">
    <w:name w:val="List Paragraph"/>
    <w:basedOn w:val="Normal"/>
    <w:qFormat/>
    <w:pPr>
      <w:ind w:hanging="0" w:left="720" w:right="0"/>
    </w:pPr>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wmf"/><Relationship Id="rId4" Type="http://schemas.openxmlformats.org/officeDocument/2006/relationships/image" Target="media/image2.wmf"/><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