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png" ContentType="image/png"/>
  <Override PartName="/word/media/image3.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A"/>
        <w:rPr/>
      </w:pPr>
      <w:r>
        <w:rPr/>
        <w:drawing>
          <wp:anchor behindDoc="0" distT="0" distB="0" distL="0" distR="0" simplePos="0" locked="0" layoutInCell="0" allowOverlap="1" relativeHeight="8">
            <wp:simplePos x="0" y="0"/>
            <wp:positionH relativeFrom="page">
              <wp:posOffset>-14605</wp:posOffset>
            </wp:positionH>
            <wp:positionV relativeFrom="page">
              <wp:posOffset>0</wp:posOffset>
            </wp:positionV>
            <wp:extent cx="7559675" cy="14052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 r="-5" b="86846"/>
                    <a:stretch>
                      <a:fillRect/>
                    </a:stretch>
                  </pic:blipFill>
                  <pic:spPr bwMode="auto">
                    <a:xfrm>
                      <a:off x="0" y="0"/>
                      <a:ext cx="7559675" cy="1405255"/>
                    </a:xfrm>
                    <a:prstGeom prst="rect">
                      <a:avLst/>
                    </a:prstGeom>
                  </pic:spPr>
                </pic:pic>
              </a:graphicData>
            </a:graphic>
          </wp:anchor>
        </w:drawing>
      </w:r>
    </w:p>
    <w:p>
      <w:pPr>
        <w:pStyle w:val="BodyA"/>
        <w:rPr/>
      </w:pPr>
      <w:r>
        <w:rPr/>
      </w:r>
    </w:p>
    <w:p>
      <w:pPr>
        <w:pStyle w:val="BodyA"/>
        <w:rPr/>
      </w:pPr>
      <w:r>
        <w:rPr/>
      </w:r>
    </w:p>
    <w:p>
      <w:pPr>
        <w:pStyle w:val="BodyA"/>
        <w:rPr/>
      </w:pPr>
      <w:r>
        <w:rPr/>
      </w:r>
    </w:p>
    <w:p>
      <w:pPr>
        <w:pStyle w:val="BodyA"/>
        <w:rPr/>
      </w:pPr>
      <w:r>
        <w:rPr/>
      </w:r>
    </w:p>
    <w:p>
      <w:pPr>
        <w:pStyle w:val="BodyA"/>
        <w:rPr>
          <w:rFonts w:ascii="Arial" w:hAnsi="Arial" w:cs="Arial"/>
          <w:b/>
          <w:bCs/>
          <w:color w:val="090931"/>
          <w:sz w:val="32"/>
          <w:szCs w:val="32"/>
          <w:u w:val="none" w:color="090931"/>
          <w:lang w:val="en-US"/>
        </w:rPr>
      </w:pPr>
      <w:r>
        <w:rPr>
          <w:rFonts w:cs="Arial" w:ascii="Arial" w:hAnsi="Arial"/>
          <w:b/>
          <w:bCs/>
          <w:color w:val="090931"/>
          <w:sz w:val="32"/>
          <w:szCs w:val="32"/>
          <w:u w:val="none" w:color="090931"/>
          <w:lang w:val="en-US"/>
        </w:rPr>
        <w:t>Teacher of Design Technology</w:t>
      </w:r>
    </w:p>
    <w:p>
      <w:pPr>
        <w:pStyle w:val="BodyA"/>
        <w:rPr>
          <w:rFonts w:ascii="Arial" w:hAnsi="Arial" w:eastAsia="Arial" w:cs="Arial"/>
          <w:b/>
          <w:bCs/>
          <w:color w:val="090931"/>
          <w:sz w:val="32"/>
          <w:szCs w:val="32"/>
          <w:u w:val="none" w:color="090931"/>
        </w:rPr>
      </w:pPr>
      <w:r>
        <w:rPr>
          <w:rFonts w:eastAsia="Arial" w:cs="Arial" w:ascii="Arial" w:hAnsi="Arial"/>
          <w:b/>
          <w:bCs/>
          <w:color w:val="090931"/>
          <w:sz w:val="32"/>
          <w:szCs w:val="32"/>
          <w:u w:val="none" w:color="090931"/>
        </w:rPr>
      </w:r>
    </w:p>
    <w:tbl>
      <w:tblPr>
        <w:tblW w:w="9085" w:type="dxa"/>
        <w:jc w:val="left"/>
        <w:tblInd w:w="296" w:type="dxa"/>
        <w:tblLayout w:type="fixed"/>
        <w:tblCellMar>
          <w:top w:w="80" w:type="dxa"/>
          <w:left w:w="80" w:type="dxa"/>
          <w:bottom w:w="80" w:type="dxa"/>
          <w:right w:w="80" w:type="dxa"/>
        </w:tblCellMar>
      </w:tblPr>
      <w:tblGrid>
        <w:gridCol w:w="1844"/>
        <w:gridCol w:w="2182"/>
        <w:gridCol w:w="5059"/>
      </w:tblGrid>
      <w:tr>
        <w:trPr>
          <w:trHeight w:val="247" w:hRule="atLeast"/>
        </w:trPr>
        <w:tc>
          <w:tcPr>
            <w:tcW w:w="9085" w:type="dxa"/>
            <w:gridSpan w:val="3"/>
            <w:tcBorders>
              <w:top w:val="single" w:sz="4" w:space="0" w:color="000000"/>
              <w:left w:val="single" w:sz="4" w:space="0" w:color="000000"/>
              <w:bottom w:val="single" w:sz="4" w:space="0" w:color="000000"/>
              <w:right w:val="single" w:sz="4" w:space="0" w:color="000000"/>
            </w:tcBorders>
            <w:shd w:fill="00073A" w:val="clear"/>
            <w:vAlign w:val="center"/>
          </w:tcPr>
          <w:p>
            <w:pPr>
              <w:pStyle w:val="BodyA"/>
              <w:rPr>
                <w:rFonts w:ascii="Arial" w:hAnsi="Arial" w:cs="Arial"/>
                <w:b/>
                <w:bCs/>
                <w:color w:val="FFFFFF"/>
                <w:sz w:val="20"/>
                <w:szCs w:val="20"/>
                <w:u w:val="none" w:color="FFFFFF"/>
                <w:lang w:val="en-US"/>
              </w:rPr>
            </w:pPr>
            <w:r>
              <w:rPr>
                <w:rFonts w:cs="Arial" w:ascii="Arial" w:hAnsi="Arial"/>
                <w:b/>
                <w:bCs/>
                <w:color w:val="FFFFFF"/>
                <w:sz w:val="20"/>
                <w:szCs w:val="20"/>
                <w:u w:val="none" w:color="FFFFFF"/>
                <w:lang w:val="en-US"/>
              </w:rPr>
              <w:t>Job Advert</w:t>
            </w:r>
          </w:p>
        </w:tc>
      </w:tr>
      <w:tr>
        <w:trPr>
          <w:trHeight w:val="290" w:hRule="atLeast"/>
        </w:trPr>
        <w:tc>
          <w:tcPr>
            <w:tcW w:w="1844" w:type="dxa"/>
            <w:tcBorders>
              <w:top w:val="single" w:sz="4" w:space="0" w:color="000000"/>
              <w:left w:val="single" w:sz="4" w:space="0" w:color="000000"/>
              <w:bottom w:val="single" w:sz="4" w:space="0" w:color="000000"/>
              <w:right w:val="single" w:sz="4" w:space="0" w:color="000000"/>
            </w:tcBorders>
            <w:shd w:fill="B49B57" w:val="clear"/>
            <w:vAlign w:val="center"/>
          </w:tcPr>
          <w:p>
            <w:pPr>
              <w:pStyle w:val="BodyA"/>
              <w:rPr>
                <w:rFonts w:ascii="Arial" w:hAnsi="Arial" w:cs="Arial"/>
                <w:b/>
                <w:bCs/>
                <w:color w:val="FFFFFF"/>
                <w:sz w:val="20"/>
                <w:szCs w:val="20"/>
                <w:u w:val="none" w:color="FFFFFF"/>
                <w:lang w:val="en-US"/>
              </w:rPr>
            </w:pPr>
            <w:r>
              <w:rPr>
                <w:rFonts w:cs="Arial" w:ascii="Arial" w:hAnsi="Arial"/>
                <w:b/>
                <w:bCs/>
                <w:color w:val="FFFFFF"/>
                <w:sz w:val="20"/>
                <w:szCs w:val="20"/>
                <w:u w:val="none" w:color="FFFFFF"/>
                <w:lang w:val="en-US"/>
              </w:rPr>
              <w:t>Salary:</w:t>
            </w:r>
          </w:p>
        </w:tc>
        <w:tc>
          <w:tcPr>
            <w:tcW w:w="7241"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rPr>
            </w:pPr>
            <w:r>
              <w:rPr>
                <w:rFonts w:cs="Arial" w:ascii="Arial" w:hAnsi="Arial"/>
              </w:rPr>
              <w:t>MPS / UPS</w:t>
            </w:r>
          </w:p>
        </w:tc>
      </w:tr>
      <w:tr>
        <w:trPr>
          <w:trHeight w:val="290" w:hRule="atLeast"/>
        </w:trPr>
        <w:tc>
          <w:tcPr>
            <w:tcW w:w="1844" w:type="dxa"/>
            <w:tcBorders>
              <w:top w:val="single" w:sz="4" w:space="0" w:color="000000"/>
              <w:left w:val="single" w:sz="4" w:space="0" w:color="000000"/>
              <w:bottom w:val="single" w:sz="4" w:space="0" w:color="000000"/>
              <w:right w:val="single" w:sz="4" w:space="0" w:color="000000"/>
            </w:tcBorders>
            <w:shd w:fill="B49B57" w:val="clear"/>
            <w:vAlign w:val="center"/>
          </w:tcPr>
          <w:p>
            <w:pPr>
              <w:pStyle w:val="BodyA"/>
              <w:rPr>
                <w:rFonts w:ascii="Arial" w:hAnsi="Arial" w:cs="Arial"/>
                <w:b/>
                <w:bCs/>
                <w:color w:val="FFFFFF"/>
                <w:sz w:val="20"/>
                <w:szCs w:val="20"/>
                <w:u w:val="none" w:color="FFFFFF"/>
                <w:lang w:val="en-US"/>
              </w:rPr>
            </w:pPr>
            <w:r>
              <w:rPr>
                <w:rFonts w:cs="Arial" w:ascii="Arial" w:hAnsi="Arial"/>
                <w:b/>
                <w:bCs/>
                <w:color w:val="FFFFFF"/>
                <w:sz w:val="20"/>
                <w:szCs w:val="20"/>
                <w:u w:val="none" w:color="FFFFFF"/>
                <w:lang w:val="en-US"/>
              </w:rPr>
              <w:t>Hours:</w:t>
            </w:r>
          </w:p>
        </w:tc>
        <w:tc>
          <w:tcPr>
            <w:tcW w:w="7241"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rPr>
            </w:pPr>
            <w:r>
              <w:rPr>
                <w:rFonts w:cs="Arial" w:ascii="Arial" w:hAnsi="Arial"/>
              </w:rPr>
              <w:t>Full time</w:t>
            </w:r>
          </w:p>
        </w:tc>
      </w:tr>
      <w:tr>
        <w:trPr>
          <w:trHeight w:val="290" w:hRule="atLeast"/>
        </w:trPr>
        <w:tc>
          <w:tcPr>
            <w:tcW w:w="1844" w:type="dxa"/>
            <w:tcBorders>
              <w:top w:val="single" w:sz="4" w:space="0" w:color="000000"/>
              <w:left w:val="single" w:sz="4" w:space="0" w:color="000000"/>
              <w:bottom w:val="single" w:sz="4" w:space="0" w:color="000000"/>
              <w:right w:val="single" w:sz="4" w:space="0" w:color="000000"/>
            </w:tcBorders>
            <w:shd w:fill="B49B57" w:val="clear"/>
            <w:vAlign w:val="center"/>
          </w:tcPr>
          <w:p>
            <w:pPr>
              <w:pStyle w:val="BodyA"/>
              <w:rPr>
                <w:rFonts w:ascii="Arial" w:hAnsi="Arial" w:cs="Arial"/>
                <w:b/>
                <w:bCs/>
                <w:color w:val="FFFFFF"/>
                <w:sz w:val="20"/>
                <w:szCs w:val="20"/>
                <w:u w:val="none" w:color="FFFFFF"/>
                <w:lang w:val="en-US"/>
              </w:rPr>
            </w:pPr>
            <w:r>
              <w:rPr>
                <w:rFonts w:cs="Arial" w:ascii="Arial" w:hAnsi="Arial"/>
                <w:b/>
                <w:bCs/>
                <w:color w:val="FFFFFF"/>
                <w:sz w:val="20"/>
                <w:szCs w:val="20"/>
                <w:u w:val="none" w:color="FFFFFF"/>
                <w:lang w:val="en-US"/>
              </w:rPr>
              <w:t>Required:</w:t>
            </w:r>
          </w:p>
        </w:tc>
        <w:tc>
          <w:tcPr>
            <w:tcW w:w="7241"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rPr>
            </w:pPr>
            <w:r>
              <w:rPr>
                <w:rFonts w:cs="Arial" w:ascii="Arial" w:hAnsi="Arial"/>
              </w:rPr>
              <w:t>January 2027</w:t>
            </w:r>
          </w:p>
        </w:tc>
      </w:tr>
      <w:tr>
        <w:trPr>
          <w:trHeight w:val="6177" w:hRule="atLeast"/>
        </w:trPr>
        <w:tc>
          <w:tcPr>
            <w:tcW w:w="9085"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Normal"/>
              <w:pBdr/>
              <w:shd w:fill="FFFFFF" w:val="clear"/>
              <w:spacing w:before="0" w:after="280"/>
              <w:jc w:val="both"/>
              <w:rPr/>
            </w:pPr>
            <w:r>
              <w:rPr>
                <w:rFonts w:eastAsia="Times New Roman" w:cs="Arial" w:ascii="Arial" w:hAnsi="Arial"/>
                <w:sz w:val="18"/>
                <w:szCs w:val="18"/>
                <w:lang w:val="en-GB" w:eastAsia="en-GB"/>
              </w:rPr>
              <w:t xml:space="preserve">The Governors of All Hallows RC High School are seeking to appoint </w:t>
            </w:r>
            <w:r>
              <w:rPr>
                <w:rFonts w:eastAsia="Times New Roman" w:cs="Arial" w:ascii="Arial" w:hAnsi="Arial"/>
                <w:sz w:val="18"/>
                <w:szCs w:val="18"/>
                <w:lang w:val="en" w:eastAsia="en-GB"/>
              </w:rPr>
              <w:t xml:space="preserve">a strong teacher of Design Technology </w:t>
            </w:r>
            <w:r>
              <w:rPr>
                <w:rFonts w:eastAsia="Times New Roman" w:cs="Arial" w:ascii="Arial" w:hAnsi="Arial"/>
                <w:sz w:val="18"/>
                <w:szCs w:val="18"/>
                <w:lang w:val="en-GB" w:eastAsia="en-GB"/>
              </w:rPr>
              <w:t xml:space="preserve">with high expectations and standards to join our friendly school. Teaching in the Design Technology department which is enhanced with state of the art equipment and a range of computer aided design programmes to deliver an innovative and independent curriculum to our pupils.  </w:t>
            </w:r>
          </w:p>
          <w:p>
            <w:pPr>
              <w:pStyle w:val="Normal"/>
              <w:pBdr/>
              <w:shd w:fill="FFFFFF" w:val="clear"/>
              <w:spacing w:before="280" w:after="280"/>
              <w:jc w:val="both"/>
              <w:rPr/>
            </w:pPr>
            <w:r>
              <w:rPr>
                <w:rFonts w:eastAsia="Times New Roman" w:cs="Arial" w:ascii="Arial" w:hAnsi="Arial"/>
                <w:sz w:val="18"/>
                <w:szCs w:val="18"/>
                <w:lang w:val="en-GB"/>
              </w:rPr>
              <w:t>The successful candidate will be responsible for teaching Design Technology up to GCSE level in this thriving school. Whilst being part of a design department supported by a technician, this position would be the sole Design Technology Specialist and would therefore suit a candidate with some experience</w:t>
            </w:r>
            <w:r>
              <w:rPr>
                <w:rFonts w:eastAsia="Times New Roman" w:cs="Arial" w:ascii="Arial" w:hAnsi="Arial"/>
                <w:sz w:val="18"/>
                <w:szCs w:val="18"/>
                <w:lang w:val="en-GB" w:eastAsia="en-GB"/>
              </w:rPr>
              <w:t xml:space="preserve">. Our pupils respond well to good and innovative teaching and learning experiences and to enthusiastic and charismatic staff.  </w:t>
            </w:r>
          </w:p>
          <w:p>
            <w:pPr>
              <w:pStyle w:val="Normal"/>
              <w:pBdr/>
              <w:shd w:fill="FFFFFF" w:val="clear"/>
              <w:spacing w:before="280" w:after="280"/>
              <w:jc w:val="both"/>
              <w:rPr>
                <w:rFonts w:ascii="Arial" w:hAnsi="Arial" w:eastAsia="Times New Roman" w:cs="Arial"/>
                <w:b/>
                <w:sz w:val="18"/>
                <w:szCs w:val="18"/>
                <w:lang w:val="en-GB" w:eastAsia="en-GB"/>
              </w:rPr>
            </w:pPr>
            <w:r>
              <w:rPr>
                <w:rFonts w:eastAsia="Times New Roman" w:cs="Arial" w:ascii="Arial" w:hAnsi="Arial"/>
                <w:b/>
                <w:sz w:val="18"/>
                <w:szCs w:val="18"/>
                <w:lang w:val="en-GB" w:eastAsia="en-GB"/>
              </w:rPr>
              <w:t>The successful candidate will:</w:t>
            </w:r>
          </w:p>
          <w:p>
            <w:pPr>
              <w:pStyle w:val="Normal"/>
              <w:numPr>
                <w:ilvl w:val="0"/>
                <w:numId w:val="1"/>
              </w:numPr>
              <w:pBdr/>
              <w:shd w:fill="FFFFFF" w:val="clear"/>
              <w:spacing w:before="280" w:after="0"/>
              <w:jc w:val="both"/>
              <w:rPr/>
            </w:pPr>
            <w:r>
              <w:rPr>
                <w:rFonts w:eastAsia="Times New Roman" w:cs="Arial" w:ascii="Arial" w:hAnsi="Arial"/>
                <w:sz w:val="18"/>
                <w:szCs w:val="18"/>
                <w:lang w:val="en-GB" w:eastAsia="en-GB"/>
              </w:rPr>
              <w:t>have a passion for teaching and learning</w:t>
            </w:r>
          </w:p>
          <w:p>
            <w:pPr>
              <w:pStyle w:val="Normal"/>
              <w:numPr>
                <w:ilvl w:val="0"/>
                <w:numId w:val="1"/>
              </w:numPr>
              <w:pBdr/>
              <w:shd w:fill="FFFFFF" w:val="clear"/>
              <w:spacing w:before="0" w:after="0"/>
              <w:jc w:val="both"/>
              <w:rPr/>
            </w:pPr>
            <w:r>
              <w:rPr>
                <w:rFonts w:eastAsia="Times New Roman" w:cs="Arial" w:ascii="Arial" w:hAnsi="Arial"/>
                <w:sz w:val="18"/>
                <w:szCs w:val="18"/>
                <w:lang w:val="en-GB" w:eastAsia="en-GB"/>
              </w:rPr>
              <w:t>have excellent subject knowledge</w:t>
            </w:r>
          </w:p>
          <w:p>
            <w:pPr>
              <w:pStyle w:val="Normal"/>
              <w:numPr>
                <w:ilvl w:val="0"/>
                <w:numId w:val="1"/>
              </w:numPr>
              <w:pBdr/>
              <w:shd w:fill="FFFFFF" w:val="clear"/>
              <w:spacing w:before="0" w:after="0"/>
              <w:jc w:val="both"/>
              <w:rPr/>
            </w:pPr>
            <w:r>
              <w:rPr>
                <w:rFonts w:eastAsia="Times New Roman" w:cs="Arial" w:ascii="Arial" w:hAnsi="Arial"/>
                <w:sz w:val="18"/>
                <w:szCs w:val="18"/>
                <w:lang w:val="en-GB" w:eastAsia="en-GB"/>
              </w:rPr>
              <w:t>be an effective team player, whilst having the ability to work independently</w:t>
            </w:r>
          </w:p>
          <w:p>
            <w:pPr>
              <w:pStyle w:val="Normal"/>
              <w:numPr>
                <w:ilvl w:val="0"/>
                <w:numId w:val="1"/>
              </w:numPr>
              <w:pBdr/>
              <w:shd w:fill="FFFFFF" w:val="clear"/>
              <w:spacing w:before="0" w:after="0"/>
              <w:jc w:val="both"/>
              <w:rPr/>
            </w:pPr>
            <w:r>
              <w:rPr>
                <w:rFonts w:eastAsia="Times New Roman" w:cs="Arial" w:ascii="Arial" w:hAnsi="Arial"/>
                <w:sz w:val="18"/>
                <w:szCs w:val="18"/>
                <w:lang w:val="en-GB" w:eastAsia="en-GB"/>
              </w:rPr>
              <w:t>have effective interpersonal skills with the ability to inspire students</w:t>
            </w:r>
          </w:p>
          <w:p>
            <w:pPr>
              <w:pStyle w:val="Normal"/>
              <w:numPr>
                <w:ilvl w:val="0"/>
                <w:numId w:val="1"/>
              </w:numPr>
              <w:pBdr/>
              <w:shd w:fill="FFFFFF" w:val="clear"/>
              <w:spacing w:before="0" w:after="280"/>
              <w:jc w:val="both"/>
              <w:rPr/>
            </w:pPr>
            <w:r>
              <w:rPr>
                <w:rFonts w:eastAsia="Times New Roman" w:cs="Arial" w:ascii="Arial" w:hAnsi="Arial"/>
                <w:sz w:val="18"/>
                <w:szCs w:val="18"/>
                <w:lang w:val="en-GB" w:eastAsia="en-GB"/>
              </w:rPr>
              <w:t>value and contribute to the distinctive ethos of the school</w:t>
            </w:r>
          </w:p>
          <w:p>
            <w:pPr>
              <w:pStyle w:val="Normal"/>
              <w:pBdr/>
              <w:shd w:fill="FFFFFF" w:val="clear"/>
              <w:spacing w:before="280" w:after="280"/>
              <w:jc w:val="both"/>
              <w:rPr>
                <w:rFonts w:ascii="Arial" w:hAnsi="Arial" w:eastAsia="Times New Roman" w:cs="Arial"/>
                <w:b/>
                <w:sz w:val="18"/>
                <w:szCs w:val="18"/>
                <w:lang w:val="en-GB" w:eastAsia="en-GB"/>
              </w:rPr>
            </w:pPr>
            <w:r>
              <w:rPr>
                <w:rFonts w:eastAsia="Times New Roman" w:cs="Arial" w:ascii="Arial" w:hAnsi="Arial"/>
                <w:b/>
                <w:sz w:val="18"/>
                <w:szCs w:val="18"/>
                <w:lang w:val="en-GB" w:eastAsia="en-GB"/>
              </w:rPr>
              <w:t>We can offer</w:t>
            </w:r>
          </w:p>
          <w:p>
            <w:pPr>
              <w:pStyle w:val="Normal"/>
              <w:numPr>
                <w:ilvl w:val="0"/>
                <w:numId w:val="2"/>
              </w:numPr>
              <w:pBdr/>
              <w:shd w:fill="FFFFFF" w:val="clear"/>
              <w:spacing w:before="280" w:after="0"/>
              <w:jc w:val="both"/>
              <w:rPr/>
            </w:pPr>
            <w:r>
              <w:rPr>
                <w:rFonts w:eastAsia="Times New Roman" w:cs="Arial" w:ascii="Arial" w:hAnsi="Arial"/>
                <w:sz w:val="18"/>
                <w:szCs w:val="18"/>
                <w:lang w:val="en-GB" w:eastAsia="en-GB"/>
              </w:rPr>
              <w:t>A committed Teaching and Learning team with expertise and vision</w:t>
            </w:r>
          </w:p>
          <w:p>
            <w:pPr>
              <w:pStyle w:val="Normal"/>
              <w:numPr>
                <w:ilvl w:val="0"/>
                <w:numId w:val="2"/>
              </w:numPr>
              <w:pBdr/>
              <w:shd w:fill="FFFFFF" w:val="clear"/>
              <w:spacing w:before="0" w:after="0"/>
              <w:jc w:val="both"/>
              <w:rPr/>
            </w:pPr>
            <w:r>
              <w:rPr>
                <w:rFonts w:eastAsia="Times New Roman" w:cs="Arial" w:ascii="Arial" w:hAnsi="Arial"/>
                <w:sz w:val="18"/>
                <w:szCs w:val="18"/>
                <w:lang w:val="en-GB" w:eastAsia="en-GB"/>
              </w:rPr>
              <w:t xml:space="preserve">A self-contained, modern facility in a practical environment  </w:t>
            </w:r>
          </w:p>
          <w:p>
            <w:pPr>
              <w:pStyle w:val="Normal"/>
              <w:numPr>
                <w:ilvl w:val="0"/>
                <w:numId w:val="2"/>
              </w:numPr>
              <w:pBdr/>
              <w:shd w:fill="FFFFFF" w:val="clear"/>
              <w:spacing w:before="0" w:after="280"/>
              <w:jc w:val="both"/>
              <w:rPr/>
            </w:pPr>
            <w:r>
              <w:rPr>
                <w:rFonts w:eastAsia="Times New Roman" w:cs="Arial" w:ascii="Arial" w:hAnsi="Arial"/>
                <w:sz w:val="18"/>
                <w:szCs w:val="18"/>
                <w:lang w:val="en-GB" w:eastAsia="en-GB"/>
              </w:rPr>
              <w:t>Excellent Professional Development opportunities</w:t>
            </w:r>
          </w:p>
          <w:p>
            <w:pPr>
              <w:pStyle w:val="Normal"/>
              <w:pBdr/>
              <w:shd w:fill="FFFFFF" w:val="clear"/>
              <w:spacing w:before="280" w:after="280"/>
              <w:jc w:val="both"/>
              <w:rPr>
                <w:rFonts w:ascii="Arial" w:hAnsi="Arial" w:eastAsia="Times New Roman" w:cs="Arial"/>
                <w:sz w:val="18"/>
                <w:szCs w:val="18"/>
                <w:lang w:val="en-GB" w:eastAsia="en-GB"/>
              </w:rPr>
            </w:pPr>
            <w:r>
              <w:rPr>
                <w:rFonts w:eastAsia="Times New Roman" w:cs="Arial" w:ascii="Arial" w:hAnsi="Arial"/>
                <w:sz w:val="18"/>
                <w:szCs w:val="18"/>
                <w:lang w:val="en-GB" w:eastAsia="en-GB"/>
              </w:rPr>
              <w:t>Candidates are expected to promote and uphold the Catholic ethos and values of the school and to participate in activities (such as form group prayers and assemblies) that contribute to this Catholic ethos.</w:t>
            </w:r>
          </w:p>
          <w:p>
            <w:pPr>
              <w:pStyle w:val="Normal"/>
              <w:rPr>
                <w:sz w:val="18"/>
                <w:szCs w:val="18"/>
              </w:rPr>
            </w:pPr>
            <w:r>
              <w:rPr>
                <w:sz w:val="18"/>
                <w:szCs w:val="18"/>
              </w:rPr>
            </w:r>
          </w:p>
        </w:tc>
      </w:tr>
      <w:tr>
        <w:trPr>
          <w:trHeight w:val="300" w:hRule="atLeast"/>
        </w:trPr>
        <w:tc>
          <w:tcPr>
            <w:tcW w:w="9085" w:type="dxa"/>
            <w:gridSpan w:val="3"/>
            <w:tcBorders>
              <w:top w:val="single" w:sz="4" w:space="0" w:color="000000"/>
              <w:bottom w:val="single" w:sz="4" w:space="0" w:color="000000"/>
            </w:tcBorders>
            <w:vAlign w:val="center"/>
          </w:tcPr>
          <w:p>
            <w:pPr>
              <w:pStyle w:val="Normal"/>
              <w:snapToGrid w:val="false"/>
              <w:rPr>
                <w:sz w:val="18"/>
                <w:szCs w:val="18"/>
              </w:rPr>
            </w:pPr>
            <w:r>
              <w:rPr>
                <w:sz w:val="18"/>
                <w:szCs w:val="18"/>
              </w:rPr>
            </w:r>
          </w:p>
        </w:tc>
      </w:tr>
      <w:tr>
        <w:trPr>
          <w:trHeight w:val="257" w:hRule="atLeast"/>
        </w:trPr>
        <w:tc>
          <w:tcPr>
            <w:tcW w:w="9085" w:type="dxa"/>
            <w:gridSpan w:val="3"/>
            <w:tcBorders>
              <w:top w:val="single" w:sz="4" w:space="0" w:color="000000"/>
              <w:left w:val="single" w:sz="4" w:space="0" w:color="000000"/>
              <w:bottom w:val="single" w:sz="4" w:space="0" w:color="000000"/>
              <w:right w:val="single" w:sz="4" w:space="0" w:color="000000"/>
            </w:tcBorders>
            <w:shd w:fill="00073A" w:val="clear"/>
            <w:vAlign w:val="center"/>
          </w:tcPr>
          <w:p>
            <w:pPr>
              <w:pStyle w:val="BodyA"/>
              <w:rPr>
                <w:rFonts w:ascii="Arial" w:hAnsi="Arial" w:cs="Arial"/>
                <w:b/>
                <w:bCs/>
                <w:color w:val="FFFFFF"/>
                <w:sz w:val="20"/>
                <w:szCs w:val="20"/>
                <w:u w:val="none" w:color="FFFFFF"/>
                <w:lang w:val="en-US"/>
              </w:rPr>
            </w:pPr>
            <w:r>
              <w:rPr>
                <w:rFonts w:cs="Arial" w:ascii="Arial" w:hAnsi="Arial"/>
                <w:b/>
                <w:bCs/>
                <w:color w:val="FFFFFF"/>
                <w:sz w:val="20"/>
                <w:szCs w:val="20"/>
                <w:u w:val="none" w:color="FFFFFF"/>
                <w:lang w:val="en-US"/>
              </w:rPr>
              <w:t>Next Steps</w:t>
            </w:r>
          </w:p>
        </w:tc>
      </w:tr>
      <w:tr>
        <w:trPr>
          <w:trHeight w:val="724" w:hRule="atLeast"/>
        </w:trPr>
        <w:tc>
          <w:tcPr>
            <w:tcW w:w="9085"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BodyA"/>
              <w:rPr/>
            </w:pPr>
            <w:r>
              <w:rPr>
                <w:rFonts w:cs="Arial" w:ascii="Arial" w:hAnsi="Arial"/>
                <w:b/>
                <w:bCs/>
                <w:sz w:val="20"/>
                <w:szCs w:val="20"/>
                <w:lang w:val="en-US"/>
              </w:rPr>
              <w:t>Application packs be returned to</w:t>
            </w:r>
            <w:r>
              <w:rPr>
                <w:rFonts w:cs="Arial" w:ascii="Arial" w:hAnsi="Arial"/>
                <w:sz w:val="20"/>
                <w:szCs w:val="20"/>
                <w:lang w:val="en-US"/>
              </w:rPr>
              <w:t xml:space="preserve">: Ms Gemma Perkins, All Hallows RC High School, 150 Eccles Old Road, Salford, M6 8AA. </w:t>
            </w:r>
            <w:r>
              <w:rPr>
                <w:rFonts w:cs="Arial" w:ascii="Arial" w:hAnsi="Arial"/>
                <w:b/>
                <w:bCs/>
                <w:sz w:val="20"/>
                <w:szCs w:val="20"/>
                <w:lang w:val="en-US"/>
              </w:rPr>
              <w:t xml:space="preserve">Telephone: </w:t>
            </w:r>
            <w:r>
              <w:rPr>
                <w:rFonts w:cs="Arial" w:ascii="Arial" w:hAnsi="Arial"/>
                <w:sz w:val="20"/>
                <w:szCs w:val="20"/>
                <w:lang w:val="en-US"/>
              </w:rPr>
              <w:t xml:space="preserve">0161 921 1900 </w:t>
            </w:r>
            <w:r>
              <w:rPr>
                <w:rFonts w:cs="Arial" w:ascii="Arial" w:hAnsi="Arial"/>
                <w:b/>
                <w:bCs/>
                <w:sz w:val="20"/>
                <w:szCs w:val="20"/>
                <w:lang w:val="en-US"/>
              </w:rPr>
              <w:t>or email:</w:t>
            </w:r>
            <w:r>
              <w:rPr>
                <w:rFonts w:cs="Arial" w:ascii="Arial" w:hAnsi="Arial"/>
                <w:sz w:val="20"/>
                <w:szCs w:val="20"/>
                <w:lang w:val="en-US"/>
              </w:rPr>
              <w:t xml:space="preserve"> </w:t>
            </w:r>
            <w:hyperlink r:id="rId3">
              <w:r>
                <w:rPr>
                  <w:rStyle w:val="Hyperlink"/>
                  <w:rFonts w:ascii="Arial" w:hAnsi="Arial" w:eastAsia="Arial" w:cs="Arial"/>
                  <w:sz w:val="20"/>
                  <w:sz w:val="20"/>
                  <w:szCs w:val="20"/>
                  <w:lang w:val="en-US"/>
                </w:rPr>
                <w:t>g.perkins@allhallowsrc.co.uk</w:t>
              </w:r>
            </w:hyperlink>
            <w:r>
              <w:rPr>
                <w:rStyle w:val="Hyperlink0"/>
              </w:rPr>
              <w:t xml:space="preserve"> </w:t>
            </w:r>
          </w:p>
        </w:tc>
      </w:tr>
      <w:tr>
        <w:trPr>
          <w:trHeight w:val="300" w:hRule="atLeast"/>
        </w:trPr>
        <w:tc>
          <w:tcPr>
            <w:tcW w:w="9085" w:type="dxa"/>
            <w:gridSpan w:val="3"/>
            <w:tcBorders>
              <w:top w:val="single" w:sz="4" w:space="0" w:color="000000"/>
              <w:bottom w:val="single" w:sz="4" w:space="0" w:color="000000"/>
            </w:tcBorders>
            <w:vAlign w:val="center"/>
          </w:tcPr>
          <w:p>
            <w:pPr>
              <w:pStyle w:val="Normal"/>
              <w:snapToGrid w:val="false"/>
              <w:rPr/>
            </w:pPr>
            <w:r>
              <w:rPr/>
            </w:r>
          </w:p>
        </w:tc>
      </w:tr>
      <w:tr>
        <w:trPr>
          <w:trHeight w:val="290" w:hRule="atLeast"/>
        </w:trPr>
        <w:tc>
          <w:tcPr>
            <w:tcW w:w="4026" w:type="dxa"/>
            <w:gridSpan w:val="2"/>
            <w:tcBorders>
              <w:top w:val="single" w:sz="4" w:space="0" w:color="000000"/>
              <w:left w:val="single" w:sz="4" w:space="0" w:color="000000"/>
              <w:bottom w:val="single" w:sz="4" w:space="0" w:color="000000"/>
              <w:right w:val="single" w:sz="4" w:space="0" w:color="000000"/>
            </w:tcBorders>
            <w:shd w:fill="B49B57" w:val="clear"/>
            <w:vAlign w:val="center"/>
          </w:tcPr>
          <w:p>
            <w:pPr>
              <w:pStyle w:val="BodyA"/>
              <w:rPr/>
            </w:pPr>
            <w:r>
              <w:rPr>
                <w:rStyle w:val="None"/>
                <w:rFonts w:cs="Arial" w:ascii="Arial" w:hAnsi="Arial"/>
                <w:b/>
                <w:bCs/>
                <w:color w:val="FFFFFF"/>
                <w:sz w:val="20"/>
                <w:szCs w:val="20"/>
                <w:u w:val="none" w:color="FFFFFF"/>
                <w:lang w:val="en-US"/>
              </w:rPr>
              <w:t>Closing date for applications:</w:t>
            </w:r>
          </w:p>
        </w:tc>
        <w:tc>
          <w:tcPr>
            <w:tcW w:w="50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pPr>
            <w:r>
              <w:rPr>
                <w:rFonts w:cs="Arial" w:ascii="Arial" w:hAnsi="Arial"/>
              </w:rPr>
              <w:t>Monday 12</w:t>
            </w:r>
            <w:r>
              <w:rPr>
                <w:rFonts w:cs="Arial" w:ascii="Arial" w:hAnsi="Arial"/>
                <w:vertAlign w:val="superscript"/>
              </w:rPr>
              <w:t>th</w:t>
            </w:r>
            <w:r>
              <w:rPr>
                <w:rFonts w:cs="Arial" w:ascii="Arial" w:hAnsi="Arial"/>
              </w:rPr>
              <w:t xml:space="preserve"> October 2026 at 9am</w:t>
            </w:r>
          </w:p>
        </w:tc>
      </w:tr>
      <w:tr>
        <w:trPr>
          <w:trHeight w:val="876" w:hRule="atLeast"/>
        </w:trPr>
        <w:tc>
          <w:tcPr>
            <w:tcW w:w="9085"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BodyA"/>
              <w:rPr/>
            </w:pPr>
            <w:r>
              <w:rPr>
                <w:rStyle w:val="None"/>
                <w:rFonts w:cs="Arial" w:ascii="Arial" w:hAnsi="Arial"/>
                <w:i/>
                <w:iCs/>
                <w:sz w:val="20"/>
                <w:szCs w:val="20"/>
                <w:lang w:val="en-US"/>
              </w:rPr>
              <w:t>All Hallows is committed to safeguarding and promoting the welfare of children and young people and expect all staff and volunteers to share this commitment.  The post is subject to an enhanced DBS disclosure.</w:t>
            </w:r>
            <w:r>
              <w:rPr>
                <w:rStyle w:val="None"/>
                <w:rFonts w:cs="Arial" w:ascii="Arial" w:hAnsi="Arial"/>
                <w:lang w:val="en-US"/>
              </w:rPr>
              <w:t xml:space="preserve"> </w:t>
            </w:r>
          </w:p>
        </w:tc>
      </w:tr>
    </w:tbl>
    <w:p>
      <w:pPr>
        <w:pStyle w:val="BodyA"/>
        <w:rPr/>
      </w:pPr>
      <w:r>
        <w:rPr/>
      </w:r>
    </w:p>
    <w:tbl>
      <w:tblPr>
        <w:tblW w:w="9085" w:type="dxa"/>
        <w:jc w:val="left"/>
        <w:tblInd w:w="296" w:type="dxa"/>
        <w:tblLayout w:type="fixed"/>
        <w:tblCellMar>
          <w:top w:w="80" w:type="dxa"/>
          <w:left w:w="80" w:type="dxa"/>
          <w:bottom w:w="80" w:type="dxa"/>
          <w:right w:w="80" w:type="dxa"/>
        </w:tblCellMar>
      </w:tblPr>
      <w:tblGrid>
        <w:gridCol w:w="1844"/>
        <w:gridCol w:w="7241"/>
      </w:tblGrid>
      <w:tr>
        <w:trPr>
          <w:trHeight w:val="257" w:hRule="atLeast"/>
        </w:trPr>
        <w:tc>
          <w:tcPr>
            <w:tcW w:w="9085" w:type="dxa"/>
            <w:gridSpan w:val="2"/>
            <w:tcBorders>
              <w:top w:val="single" w:sz="4" w:space="0" w:color="000000"/>
              <w:left w:val="single" w:sz="4" w:space="0" w:color="000000"/>
              <w:bottom w:val="single" w:sz="4" w:space="0" w:color="000000"/>
              <w:right w:val="single" w:sz="4" w:space="0" w:color="000000"/>
            </w:tcBorders>
            <w:shd w:fill="00073A" w:val="clear"/>
            <w:vAlign w:val="center"/>
          </w:tcPr>
          <w:p>
            <w:pPr>
              <w:pStyle w:val="BodyA"/>
              <w:rPr/>
            </w:pPr>
            <w:r>
              <w:rPr>
                <w:rStyle w:val="None"/>
                <w:rFonts w:cs="Arial" w:ascii="Arial" w:hAnsi="Arial"/>
                <w:b/>
                <w:bCs/>
                <w:color w:val="FFFFFF"/>
                <w:sz w:val="20"/>
                <w:szCs w:val="20"/>
                <w:u w:val="none" w:color="FFFFFF"/>
                <w:lang w:val="fr-FR"/>
              </w:rPr>
              <w:t>Job Description</w:t>
            </w:r>
          </w:p>
        </w:tc>
      </w:tr>
      <w:tr>
        <w:trPr>
          <w:trHeight w:val="290" w:hRule="atLeast"/>
        </w:trPr>
        <w:tc>
          <w:tcPr>
            <w:tcW w:w="1844" w:type="dxa"/>
            <w:tcBorders>
              <w:top w:val="single" w:sz="4" w:space="0" w:color="000000"/>
              <w:left w:val="single" w:sz="4" w:space="0" w:color="000000"/>
              <w:bottom w:val="single" w:sz="4" w:space="0" w:color="000000"/>
              <w:right w:val="single" w:sz="4" w:space="0" w:color="000000"/>
            </w:tcBorders>
            <w:shd w:fill="B49B57" w:val="clear"/>
            <w:vAlign w:val="center"/>
          </w:tcPr>
          <w:p>
            <w:pPr>
              <w:pStyle w:val="BodyA"/>
              <w:rPr/>
            </w:pPr>
            <w:r>
              <w:rPr>
                <w:rStyle w:val="None"/>
                <w:rFonts w:cs="Arial" w:ascii="Arial" w:hAnsi="Arial"/>
                <w:b/>
                <w:bCs/>
                <w:color w:val="FFFFFF"/>
                <w:sz w:val="20"/>
                <w:szCs w:val="20"/>
                <w:u w:val="none" w:color="FFFFFF"/>
                <w:lang w:val="en-US"/>
              </w:rPr>
              <w:t>Post title:</w:t>
            </w:r>
          </w:p>
        </w:tc>
        <w:tc>
          <w:tcPr>
            <w:tcW w:w="724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rPr>
            </w:pPr>
            <w:r>
              <w:rPr>
                <w:rFonts w:cs="Arial" w:ascii="Arial" w:hAnsi="Arial"/>
              </w:rPr>
              <w:t>Teacher of Design Technology</w:t>
            </w:r>
          </w:p>
        </w:tc>
      </w:tr>
      <w:tr>
        <w:trPr>
          <w:trHeight w:val="290" w:hRule="atLeast"/>
        </w:trPr>
        <w:tc>
          <w:tcPr>
            <w:tcW w:w="1844" w:type="dxa"/>
            <w:tcBorders>
              <w:top w:val="single" w:sz="4" w:space="0" w:color="000000"/>
              <w:left w:val="single" w:sz="4" w:space="0" w:color="000000"/>
              <w:bottom w:val="single" w:sz="4" w:space="0" w:color="000000"/>
              <w:right w:val="single" w:sz="4" w:space="0" w:color="000000"/>
            </w:tcBorders>
            <w:shd w:fill="B49B57" w:val="clear"/>
            <w:vAlign w:val="center"/>
          </w:tcPr>
          <w:p>
            <w:pPr>
              <w:pStyle w:val="BodyA"/>
              <w:rPr/>
            </w:pPr>
            <w:r>
              <w:rPr>
                <w:rStyle w:val="None"/>
                <w:rFonts w:cs="Arial" w:ascii="Arial" w:hAnsi="Arial"/>
                <w:b/>
                <w:bCs/>
                <w:color w:val="FFFFFF"/>
                <w:sz w:val="20"/>
                <w:szCs w:val="20"/>
                <w:u w:val="none" w:color="FFFFFF"/>
                <w:lang w:val="en-US"/>
              </w:rPr>
              <w:t>Responsible to:</w:t>
            </w:r>
          </w:p>
        </w:tc>
        <w:tc>
          <w:tcPr>
            <w:tcW w:w="724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rPr>
            </w:pPr>
            <w:r>
              <w:rPr>
                <w:rFonts w:cs="Arial" w:ascii="Arial" w:hAnsi="Arial"/>
              </w:rPr>
              <w:t>Head of Department</w:t>
            </w:r>
          </w:p>
        </w:tc>
      </w:tr>
      <w:tr>
        <w:trPr>
          <w:trHeight w:val="595" w:hRule="atLeast"/>
        </w:trPr>
        <w:tc>
          <w:tcPr>
            <w:tcW w:w="1844" w:type="dxa"/>
            <w:tcBorders>
              <w:top w:val="single" w:sz="4" w:space="0" w:color="000000"/>
              <w:left w:val="single" w:sz="4" w:space="0" w:color="000000"/>
              <w:bottom w:val="single" w:sz="4" w:space="0" w:color="000000"/>
              <w:right w:val="single" w:sz="4" w:space="0" w:color="000000"/>
            </w:tcBorders>
            <w:shd w:fill="B49B57" w:val="clear"/>
            <w:vAlign w:val="center"/>
          </w:tcPr>
          <w:p>
            <w:pPr>
              <w:pStyle w:val="BodyA"/>
              <w:rPr/>
            </w:pPr>
            <w:r>
              <w:rPr>
                <w:rStyle w:val="None"/>
                <w:rFonts w:cs="Arial" w:ascii="Arial" w:hAnsi="Arial"/>
                <w:b/>
                <w:bCs/>
                <w:color w:val="FFFFFF"/>
                <w:sz w:val="20"/>
                <w:szCs w:val="20"/>
                <w:u w:val="none" w:color="FFFFFF"/>
                <w:lang w:val="en-US"/>
              </w:rPr>
              <w:t>Function:</w:t>
            </w:r>
          </w:p>
        </w:tc>
        <w:tc>
          <w:tcPr>
            <w:tcW w:w="724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lang w:val="en-GB"/>
              </w:rPr>
            </w:pPr>
            <w:r>
              <w:rPr>
                <w:rFonts w:cs="Arial" w:ascii="Arial" w:hAnsi="Arial"/>
                <w:lang w:val="en-GB"/>
              </w:rPr>
              <w:t>To teach within the department, and undertake other teaching duties as required by the Head Teacher</w:t>
            </w:r>
          </w:p>
        </w:tc>
      </w:tr>
      <w:tr>
        <w:trPr>
          <w:trHeight w:val="300" w:hRule="atLeast"/>
        </w:trPr>
        <w:tc>
          <w:tcPr>
            <w:tcW w:w="9085" w:type="dxa"/>
            <w:gridSpan w:val="2"/>
            <w:tcBorders>
              <w:top w:val="single" w:sz="4" w:space="0" w:color="000000"/>
              <w:bottom w:val="single" w:sz="4" w:space="0" w:color="000000"/>
            </w:tcBorders>
            <w:vAlign w:val="center"/>
          </w:tcPr>
          <w:p>
            <w:pPr>
              <w:pStyle w:val="Normal"/>
              <w:snapToGrid w:val="false"/>
              <w:rPr/>
            </w:pPr>
            <w:r>
              <w:rPr/>
            </w:r>
          </w:p>
        </w:tc>
      </w:tr>
      <w:tr>
        <w:trPr>
          <w:trHeight w:val="5943" w:hRule="atLeast"/>
        </w:trPr>
        <w:tc>
          <w:tcPr>
            <w:tcW w:w="9085"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rPr>
                <w:rFonts w:ascii="Arial" w:hAnsi="Arial" w:cs="Arial"/>
                <w:b/>
                <w:sz w:val="20"/>
                <w:szCs w:val="20"/>
                <w:u w:val="single"/>
                <w:lang w:val="en-GB"/>
              </w:rPr>
            </w:pPr>
            <w:r>
              <w:rPr>
                <w:rFonts w:cs="Arial" w:ascii="Arial" w:hAnsi="Arial"/>
                <w:b/>
                <w:sz w:val="20"/>
                <w:szCs w:val="20"/>
                <w:u w:val="single"/>
                <w:lang w:val="en-GB"/>
              </w:rPr>
              <w:t>General Duties:</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plan and prepare lessons, teach pupils as assigned, including the setting and marking of work.</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assess, record and report on the progress and attainment of pupils, in line with department and school policy.</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promote the general progress and well-being of individual pupils and provide guidance and advice as necessary.</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communicate and consult with parents of pupils and with other appropriate persons and bodies outside the school, as appropriate.</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participate in meetings arranged for any of the purposes described above, within the school’s directed time schedule.</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provide or contribute oral or written assessments, reports and references as required for individual pupils.</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review his/her methods of teaching and to participate in arrangements for further training.</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maintain good order and discipline among pupils, safeguarding their health and safety both on and off the school site when engaged in authorised activities.</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attend staff meetings which relate to curricular, guidance, administrative and organisational issues.</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supervise and, so far as practicable, teach pupils whose teacher is not available, in accordance with agreed procedures at school and national level.</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prepare pupils for public examinations and to participate in all necessary routines associated with them, whether authorised by the school or the examination boards.</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fully engage in systems that are put in place in order to track pupils progress and address underachievement.</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attend assemblies and to register the attendance of pupils in accordance with school policy.</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participate in administrative and organisational tasks related to the duties described above.</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assist the Head of Department in the organisation and administration of department meetings and training.</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deliver work compatible with Key Stage 3 and Key Stage 4 of the National Curriculum in all of its aspects, subject to the policy of the school.</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participate in agreed schemes of teacher performance management, to include all aspects of in-service training in liaison with the school professional tutor.</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contribute to curriculum development within the Department.</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provide differentiated experiences within lessons.</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set and mark homework on a regular basis in line with school and departmental policy.</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contribute to the effective development of a departmental resource bank of materials.</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be accountable for all resources within your teaching base and used by students in your charge.</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attend staff development as agreed with the Head of Department.</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be accountable for a tutor group of pupils within the school.</w:t>
            </w:r>
          </w:p>
          <w:p>
            <w:pPr>
              <w:pStyle w:val="Normal"/>
              <w:rPr>
                <w:rFonts w:ascii="Arial" w:hAnsi="Arial" w:cs="Arial"/>
                <w:sz w:val="20"/>
                <w:szCs w:val="20"/>
                <w:lang w:val="en-GB"/>
              </w:rPr>
            </w:pPr>
            <w:r>
              <w:rPr>
                <w:rFonts w:cs="Arial" w:ascii="Arial" w:hAnsi="Arial"/>
                <w:sz w:val="20"/>
                <w:szCs w:val="20"/>
                <w:lang w:val="en-GB"/>
              </w:rPr>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 xml:space="preserve">To contribute to the effective running of the school through break and lunch-time supervision.  </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undertake all such duties as may be requested by the Head Teacher in accordance with the prevailing Teachers’ Pay and Conditions Act, and local agreements.</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To take an active role in the promotion and implementation of cross-curricular enterprise activities and extra-curricular activities.</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Promote and uphold the Catholic ethos and values of the school and to participate in activities (such as form group prayers and assemblies) that contribute to this Catholic ethos.</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b/>
                <w:bCs/>
                <w:sz w:val="20"/>
                <w:szCs w:val="20"/>
                <w:lang w:val="en-GB"/>
              </w:rPr>
              <w:t>UPS Responsibility (if applicable)</w:t>
            </w:r>
          </w:p>
          <w:p>
            <w:pPr>
              <w:pStyle w:val="Normal"/>
              <w:rPr>
                <w:rFonts w:ascii="Arial" w:hAnsi="Arial" w:cs="Arial"/>
                <w:b/>
                <w:bCs/>
                <w:sz w:val="20"/>
                <w:szCs w:val="20"/>
                <w:lang w:val="en-GB"/>
              </w:rPr>
            </w:pPr>
            <w:r>
              <w:rPr>
                <w:rFonts w:cs="Arial" w:ascii="Arial" w:hAnsi="Arial"/>
                <w:b/>
                <w:bCs/>
                <w:sz w:val="20"/>
                <w:szCs w:val="20"/>
                <w:lang w:val="en-GB"/>
              </w:rPr>
            </w:r>
          </w:p>
          <w:p>
            <w:pPr>
              <w:pStyle w:val="Normal"/>
              <w:rPr>
                <w:rFonts w:ascii="Arial" w:hAnsi="Arial" w:cs="Arial"/>
                <w:b/>
                <w:bCs/>
                <w:sz w:val="20"/>
                <w:szCs w:val="20"/>
                <w:lang w:val="en-GB"/>
              </w:rPr>
            </w:pPr>
            <w:r>
              <w:rPr>
                <w:rFonts w:cs="Arial" w:ascii="Arial" w:hAnsi="Arial"/>
                <w:b/>
                <w:bCs/>
                <w:sz w:val="20"/>
                <w:szCs w:val="20"/>
                <w:lang w:val="en-GB"/>
              </w:rPr>
            </w:r>
          </w:p>
          <w:p>
            <w:pPr>
              <w:pStyle w:val="Normal"/>
              <w:numPr>
                <w:ilvl w:val="0"/>
                <w:numId w:val="3"/>
              </w:numPr>
              <w:rPr/>
            </w:pPr>
            <w:r>
              <w:rPr>
                <w:rFonts w:cs="Arial" w:ascii="Arial" w:hAnsi="Arial"/>
                <w:sz w:val="20"/>
                <w:szCs w:val="20"/>
                <w:lang w:val="en-GB"/>
              </w:rPr>
              <w:t>The expectation is that colleagues on the Upper Pay Spine (UPS) should be consistently demonstrating a quality of teaching over time (progress of learners / standards of teaching, learning and assessment) which is at least consistently good and outstanding</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UPS teachers should contribute to the professional development of colleagues through coaching, mentoring, demonstrating effective practice, providing advice and feedback and whole college INSET</w:t>
            </w:r>
          </w:p>
          <w:p>
            <w:pPr>
              <w:pStyle w:val="Normal"/>
              <w:rPr>
                <w:rFonts w:ascii="Arial" w:hAnsi="Arial" w:cs="Arial"/>
                <w:sz w:val="20"/>
                <w:szCs w:val="20"/>
                <w:lang w:val="en-GB"/>
              </w:rPr>
            </w:pPr>
            <w:r>
              <w:rPr>
                <w:rFonts w:cs="Arial" w:ascii="Arial" w:hAnsi="Arial"/>
                <w:sz w:val="20"/>
                <w:szCs w:val="20"/>
                <w:lang w:val="en-GB"/>
              </w:rPr>
            </w:r>
          </w:p>
          <w:p>
            <w:pPr>
              <w:pStyle w:val="Normal"/>
              <w:numPr>
                <w:ilvl w:val="0"/>
                <w:numId w:val="3"/>
              </w:numPr>
              <w:rPr/>
            </w:pPr>
            <w:r>
              <w:rPr>
                <w:rFonts w:cs="Arial" w:ascii="Arial" w:hAnsi="Arial"/>
                <w:sz w:val="20"/>
                <w:szCs w:val="20"/>
                <w:lang w:val="en-GB"/>
              </w:rPr>
              <w:t>Other responsibilities to be determined by the Headteacher and Line Manager</w:t>
            </w:r>
          </w:p>
          <w:p>
            <w:pPr>
              <w:pStyle w:val="Normal"/>
              <w:rPr>
                <w:rFonts w:ascii="Arial" w:hAnsi="Arial" w:cs="Arial"/>
                <w:b/>
                <w:sz w:val="20"/>
                <w:szCs w:val="20"/>
                <w:lang w:val="en-GB"/>
              </w:rPr>
            </w:pPr>
            <w:r>
              <w:rPr>
                <w:rFonts w:cs="Arial" w:ascii="Arial" w:hAnsi="Arial"/>
                <w:b/>
                <w:sz w:val="20"/>
                <w:szCs w:val="20"/>
                <w:lang w:val="en-GB"/>
              </w:rPr>
            </w:r>
          </w:p>
          <w:p>
            <w:pPr>
              <w:pStyle w:val="Normal"/>
              <w:rPr>
                <w:rFonts w:ascii="Arial" w:hAnsi="Arial" w:cs="Arial"/>
                <w:b/>
                <w:sz w:val="20"/>
                <w:szCs w:val="20"/>
                <w:lang w:val="en-GB"/>
              </w:rPr>
            </w:pPr>
            <w:r>
              <w:rPr>
                <w:rFonts w:cs="Arial" w:ascii="Arial" w:hAnsi="Arial"/>
                <w:b/>
                <w:sz w:val="20"/>
                <w:szCs w:val="20"/>
                <w:lang w:val="en-GB"/>
              </w:rPr>
            </w:r>
          </w:p>
        </w:tc>
      </w:tr>
      <w:tr>
        <w:trPr>
          <w:trHeight w:val="300" w:hRule="atLeast"/>
        </w:trPr>
        <w:tc>
          <w:tcPr>
            <w:tcW w:w="9085" w:type="dxa"/>
            <w:gridSpan w:val="2"/>
            <w:tcBorders>
              <w:top w:val="single" w:sz="4" w:space="0" w:color="000000"/>
              <w:bottom w:val="single" w:sz="4" w:space="0" w:color="000000"/>
            </w:tcBorders>
            <w:vAlign w:val="center"/>
          </w:tcPr>
          <w:p>
            <w:pPr>
              <w:pStyle w:val="Normal"/>
              <w:snapToGrid w:val="false"/>
              <w:rPr>
                <w:rFonts w:ascii="Arial" w:hAnsi="Arial" w:cs="Arial"/>
                <w:sz w:val="20"/>
                <w:szCs w:val="20"/>
              </w:rPr>
            </w:pPr>
            <w:r>
              <w:rPr>
                <w:rFonts w:cs="Arial" w:ascii="Arial" w:hAnsi="Arial"/>
                <w:sz w:val="20"/>
                <w:szCs w:val="20"/>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c>
      </w:tr>
      <w:tr>
        <w:trPr>
          <w:trHeight w:val="257" w:hRule="atLeast"/>
        </w:trPr>
        <w:tc>
          <w:tcPr>
            <w:tcW w:w="9085" w:type="dxa"/>
            <w:gridSpan w:val="2"/>
            <w:tcBorders>
              <w:top w:val="single" w:sz="4" w:space="0" w:color="000000"/>
              <w:left w:val="single" w:sz="4" w:space="0" w:color="000000"/>
              <w:bottom w:val="single" w:sz="4" w:space="0" w:color="000000"/>
              <w:right w:val="single" w:sz="4" w:space="0" w:color="000000"/>
            </w:tcBorders>
            <w:shd w:fill="00073A" w:val="clear"/>
            <w:vAlign w:val="center"/>
          </w:tcPr>
          <w:p>
            <w:pPr>
              <w:pStyle w:val="BodyA"/>
              <w:rPr/>
            </w:pPr>
            <w:r>
              <w:rPr>
                <w:rStyle w:val="None"/>
                <w:rFonts w:cs="Arial" w:ascii="Arial" w:hAnsi="Arial"/>
                <w:b/>
                <w:bCs/>
                <w:color w:val="FFFFFF"/>
                <w:sz w:val="20"/>
                <w:szCs w:val="20"/>
                <w:u w:val="none" w:color="FFFFFF"/>
                <w:lang w:val="en-US"/>
              </w:rPr>
              <w:t>Person Specification</w:t>
            </w:r>
          </w:p>
        </w:tc>
      </w:tr>
      <w:tr>
        <w:trPr>
          <w:trHeight w:val="663" w:hRule="atLeast"/>
        </w:trPr>
        <w:tc>
          <w:tcPr>
            <w:tcW w:w="9085"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rPr>
            </w:pPr>
            <w:r>
              <w:rPr>
                <w:rFonts w:cs="Arial" w:ascii="Arial" w:hAnsi="Arial"/>
              </w:rPr>
              <w:t>Teacher of Design Technology</w:t>
            </w:r>
          </w:p>
        </w:tc>
      </w:tr>
      <w:tr>
        <w:trPr>
          <w:trHeight w:val="6163" w:hRule="atLeast"/>
        </w:trPr>
        <w:tc>
          <w:tcPr>
            <w:tcW w:w="9085"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rPr>
                <w:rFonts w:ascii="Arial" w:hAnsi="Arial" w:cs="Arial"/>
                <w:lang w:val="en-GB"/>
              </w:rPr>
            </w:pPr>
            <w:r>
              <w:rPr>
                <w:rFonts w:cs="Arial" w:ascii="Arial" w:hAnsi="Arial"/>
                <w:lang w:val="en-GB"/>
              </w:rPr>
              <w:t>The successful candidate should always be striving for excellence and possess the following essential qualities:-</w:t>
            </w:r>
          </w:p>
          <w:p>
            <w:pPr>
              <w:pStyle w:val="Normal"/>
              <w:rPr>
                <w:rFonts w:ascii="Arial" w:hAnsi="Arial" w:cs="Arial"/>
                <w:lang w:val="en-GB"/>
              </w:rPr>
            </w:pPr>
            <w:r>
              <w:rPr>
                <w:rFonts w:cs="Arial" w:ascii="Arial" w:hAnsi="Arial"/>
                <w:lang w:val="en-GB"/>
              </w:rPr>
            </w:r>
          </w:p>
          <w:p>
            <w:pPr>
              <w:pStyle w:val="Normal"/>
              <w:numPr>
                <w:ilvl w:val="0"/>
                <w:numId w:val="4"/>
              </w:numPr>
              <w:rPr/>
            </w:pPr>
            <w:r>
              <w:rPr>
                <w:rFonts w:cs="Arial" w:ascii="Arial" w:hAnsi="Arial"/>
                <w:lang w:val="en-GB"/>
              </w:rPr>
              <w:t>A degree.</w:t>
            </w:r>
          </w:p>
          <w:p>
            <w:pPr>
              <w:pStyle w:val="Normal"/>
              <w:numPr>
                <w:ilvl w:val="0"/>
                <w:numId w:val="4"/>
              </w:numPr>
              <w:rPr/>
            </w:pPr>
            <w:r>
              <w:rPr>
                <w:rFonts w:cs="Arial" w:ascii="Arial" w:hAnsi="Arial"/>
                <w:lang w:val="en-GB"/>
              </w:rPr>
              <w:t>Qualified teacher status.</w:t>
            </w:r>
          </w:p>
          <w:p>
            <w:pPr>
              <w:pStyle w:val="Normal"/>
              <w:numPr>
                <w:ilvl w:val="0"/>
                <w:numId w:val="4"/>
              </w:numPr>
              <w:rPr/>
            </w:pPr>
            <w:r>
              <w:rPr>
                <w:rFonts w:cs="Arial" w:ascii="Arial" w:hAnsi="Arial"/>
                <w:lang w:val="en-GB"/>
              </w:rPr>
              <w:t>A high degree of subject competency and personal organisation.</w:t>
            </w:r>
          </w:p>
          <w:p>
            <w:pPr>
              <w:pStyle w:val="Normal"/>
              <w:numPr>
                <w:ilvl w:val="0"/>
                <w:numId w:val="4"/>
              </w:numPr>
              <w:rPr/>
            </w:pPr>
            <w:r>
              <w:rPr>
                <w:rFonts w:cs="Arial" w:ascii="Arial" w:hAnsi="Arial"/>
                <w:lang w:val="en-GB"/>
              </w:rPr>
              <w:t>An ability to teach across the 11-16 age and ability range.</w:t>
            </w:r>
          </w:p>
          <w:p>
            <w:pPr>
              <w:pStyle w:val="Normal"/>
              <w:numPr>
                <w:ilvl w:val="0"/>
                <w:numId w:val="4"/>
              </w:numPr>
              <w:rPr/>
            </w:pPr>
            <w:r>
              <w:rPr>
                <w:rFonts w:cs="Arial" w:ascii="Arial" w:hAnsi="Arial"/>
                <w:lang w:val="en-GB"/>
              </w:rPr>
              <w:t>Effective and appropriate pupil management with high expectations evident in all lessons.</w:t>
            </w:r>
          </w:p>
          <w:p>
            <w:pPr>
              <w:pStyle w:val="Normal"/>
              <w:numPr>
                <w:ilvl w:val="0"/>
                <w:numId w:val="4"/>
              </w:numPr>
              <w:rPr/>
            </w:pPr>
            <w:r>
              <w:rPr>
                <w:rFonts w:cs="Arial" w:ascii="Arial" w:hAnsi="Arial"/>
                <w:lang w:val="en-GB"/>
              </w:rPr>
              <w:t>A willingness to participate fully as part of a faculty team.</w:t>
            </w:r>
          </w:p>
          <w:p>
            <w:pPr>
              <w:pStyle w:val="Normal"/>
              <w:numPr>
                <w:ilvl w:val="0"/>
                <w:numId w:val="4"/>
              </w:numPr>
              <w:rPr/>
            </w:pPr>
            <w:r>
              <w:rPr>
                <w:rFonts w:cs="Arial" w:ascii="Arial" w:hAnsi="Arial"/>
                <w:lang w:val="en-GB"/>
              </w:rPr>
              <w:t>A willingness to develop and promote Design and Technology teaching and learning</w:t>
            </w:r>
          </w:p>
          <w:p>
            <w:pPr>
              <w:pStyle w:val="Normal"/>
              <w:numPr>
                <w:ilvl w:val="0"/>
                <w:numId w:val="4"/>
              </w:numPr>
              <w:rPr/>
            </w:pPr>
            <w:r>
              <w:rPr>
                <w:rFonts w:cs="Arial" w:ascii="Arial" w:hAnsi="Arial"/>
                <w:lang w:val="en-GB"/>
              </w:rPr>
              <w:t>Rigorous professionalism in everything, accepting nothing but the best in a culture of achievement.</w:t>
            </w:r>
          </w:p>
          <w:p>
            <w:pPr>
              <w:pStyle w:val="Normal"/>
              <w:numPr>
                <w:ilvl w:val="0"/>
                <w:numId w:val="4"/>
              </w:numPr>
              <w:rPr/>
            </w:pPr>
            <w:r>
              <w:rPr>
                <w:rFonts w:cs="Arial" w:ascii="Arial" w:hAnsi="Arial"/>
                <w:lang w:val="en-GB"/>
              </w:rPr>
              <w:t>The ability to work independently.</w:t>
            </w:r>
          </w:p>
          <w:p>
            <w:pPr>
              <w:pStyle w:val="Normal"/>
              <w:numPr>
                <w:ilvl w:val="0"/>
                <w:numId w:val="4"/>
              </w:numPr>
              <w:rPr/>
            </w:pPr>
            <w:r>
              <w:rPr>
                <w:rFonts w:cs="Arial" w:ascii="Arial" w:hAnsi="Arial"/>
                <w:lang w:val="en-GB"/>
              </w:rPr>
              <w:t>Experience of monitoring and evaluation.</w:t>
            </w:r>
          </w:p>
          <w:p>
            <w:pPr>
              <w:pStyle w:val="Normal"/>
              <w:numPr>
                <w:ilvl w:val="0"/>
                <w:numId w:val="4"/>
              </w:numPr>
              <w:rPr/>
            </w:pPr>
            <w:r>
              <w:rPr>
                <w:rFonts w:eastAsia="Arial" w:cs="Arial" w:ascii="Arial" w:hAnsi="Arial"/>
                <w:lang w:val="en-GB"/>
              </w:rPr>
              <w:t xml:space="preserve"> </w:t>
            </w:r>
            <w:r>
              <w:rPr>
                <w:rFonts w:cs="Arial" w:ascii="Arial" w:hAnsi="Arial"/>
                <w:lang w:val="en-GB"/>
              </w:rPr>
              <w:t>A willingness to provide extra-curricular activities.</w:t>
            </w:r>
          </w:p>
          <w:p>
            <w:pPr>
              <w:pStyle w:val="Normal"/>
              <w:numPr>
                <w:ilvl w:val="0"/>
                <w:numId w:val="4"/>
              </w:numPr>
              <w:rPr/>
            </w:pPr>
            <w:r>
              <w:rPr>
                <w:rFonts w:eastAsia="Arial" w:cs="Arial" w:ascii="Arial" w:hAnsi="Arial"/>
                <w:lang w:val="en-GB"/>
              </w:rPr>
              <w:t xml:space="preserve"> </w:t>
            </w:r>
            <w:r>
              <w:rPr>
                <w:rFonts w:cs="Arial" w:ascii="Arial" w:hAnsi="Arial"/>
                <w:lang w:val="en-GB"/>
              </w:rPr>
              <w:t>An excellent record of attendance and punctuality.</w:t>
            </w:r>
          </w:p>
          <w:p>
            <w:pPr>
              <w:pStyle w:val="Normal"/>
              <w:numPr>
                <w:ilvl w:val="0"/>
                <w:numId w:val="4"/>
              </w:numPr>
              <w:rPr/>
            </w:pPr>
            <w:r>
              <w:rPr>
                <w:rFonts w:eastAsia="Arial" w:cs="Arial" w:ascii="Arial" w:hAnsi="Arial"/>
                <w:lang w:val="en-GB"/>
              </w:rPr>
              <w:t xml:space="preserve"> </w:t>
            </w:r>
            <w:r>
              <w:rPr>
                <w:rFonts w:cs="Arial" w:ascii="Arial" w:hAnsi="Arial"/>
                <w:lang w:val="en-GB"/>
              </w:rPr>
              <w:t>A willingness to promote and uphold the Catholic ethos and values of the school and to participate in activities (such as form group prayers and assemblies) that contribute to this Catholic ethos.</w:t>
            </w:r>
          </w:p>
          <w:p>
            <w:pPr>
              <w:pStyle w:val="Normal"/>
              <w:rPr>
                <w:rFonts w:ascii="Arial" w:hAnsi="Arial" w:cs="Arial"/>
                <w:lang w:val="en-GB"/>
              </w:rPr>
            </w:pPr>
            <w:r>
              <w:rPr>
                <w:rFonts w:cs="Arial" w:ascii="Arial" w:hAnsi="Arial"/>
                <w:lang w:val="en-GB"/>
              </w:rPr>
            </w:r>
          </w:p>
          <w:p>
            <w:pPr>
              <w:pStyle w:val="Normal"/>
              <w:rPr>
                <w:rFonts w:ascii="Arial" w:hAnsi="Arial" w:cs="Arial"/>
                <w:b/>
                <w:u w:val="single"/>
                <w:lang w:val="en-GB"/>
              </w:rPr>
            </w:pPr>
            <w:r>
              <w:rPr>
                <w:rFonts w:cs="Arial" w:ascii="Arial" w:hAnsi="Arial"/>
                <w:b/>
                <w:u w:val="single"/>
                <w:lang w:val="en-GB"/>
              </w:rPr>
            </w:r>
          </w:p>
          <w:p>
            <w:pPr>
              <w:pStyle w:val="Normal"/>
              <w:rPr>
                <w:rFonts w:ascii="Arial" w:hAnsi="Arial" w:cs="Arial"/>
                <w:b/>
                <w:u w:val="single"/>
                <w:lang w:val="en-GB"/>
              </w:rPr>
            </w:pPr>
            <w:r>
              <w:rPr>
                <w:rFonts w:cs="Arial" w:ascii="Arial" w:hAnsi="Arial"/>
                <w:b/>
                <w:u w:val="single"/>
                <w:lang w:val="en-GB"/>
              </w:rPr>
              <w:t>Teaching and Learning Responsibilities</w:t>
            </w:r>
          </w:p>
          <w:p>
            <w:pPr>
              <w:pStyle w:val="Normal"/>
              <w:rPr>
                <w:rFonts w:ascii="Arial" w:hAnsi="Arial" w:cs="Arial"/>
                <w:b/>
                <w:u w:val="single"/>
                <w:lang w:val="en-GB"/>
              </w:rPr>
            </w:pPr>
            <w:r>
              <w:rPr>
                <w:rFonts w:cs="Arial" w:ascii="Arial" w:hAnsi="Arial"/>
                <w:b/>
                <w:u w:val="single"/>
                <w:lang w:val="en-GB"/>
              </w:rPr>
            </w:r>
          </w:p>
          <w:p>
            <w:pPr>
              <w:pStyle w:val="Normal"/>
              <w:rPr>
                <w:rFonts w:ascii="Arial" w:hAnsi="Arial" w:cs="Arial"/>
                <w:lang w:val="en-GB"/>
              </w:rPr>
            </w:pPr>
            <w:r>
              <w:rPr>
                <w:rFonts w:cs="Arial" w:ascii="Arial" w:hAnsi="Arial"/>
                <w:lang w:val="en-GB"/>
              </w:rPr>
              <w:t>The successful candidate should have:-</w:t>
            </w:r>
          </w:p>
          <w:p>
            <w:pPr>
              <w:pStyle w:val="Normal"/>
              <w:rPr>
                <w:rFonts w:ascii="Arial" w:hAnsi="Arial" w:cs="Arial"/>
                <w:lang w:val="en-GB"/>
              </w:rPr>
            </w:pPr>
            <w:r>
              <w:rPr>
                <w:rFonts w:cs="Arial" w:ascii="Arial" w:hAnsi="Arial"/>
                <w:lang w:val="en-GB"/>
              </w:rPr>
            </w:r>
          </w:p>
          <w:p>
            <w:pPr>
              <w:pStyle w:val="Normal"/>
              <w:numPr>
                <w:ilvl w:val="0"/>
                <w:numId w:val="5"/>
              </w:numPr>
              <w:rPr/>
            </w:pPr>
            <w:r>
              <w:rPr>
                <w:rFonts w:cs="Arial" w:ascii="Arial" w:hAnsi="Arial"/>
                <w:lang w:val="en-GB"/>
              </w:rPr>
              <w:t>High expectations of students regarding behaviour and the quality of work they produce.</w:t>
            </w:r>
          </w:p>
          <w:p>
            <w:pPr>
              <w:pStyle w:val="Normal"/>
              <w:numPr>
                <w:ilvl w:val="0"/>
                <w:numId w:val="5"/>
              </w:numPr>
              <w:rPr/>
            </w:pPr>
            <w:r>
              <w:rPr>
                <w:rFonts w:cs="Arial" w:ascii="Arial" w:hAnsi="Arial"/>
                <w:lang w:val="en-GB"/>
              </w:rPr>
              <w:t>The ability to set an example, inspire and motivate students and staff alike.</w:t>
            </w:r>
          </w:p>
          <w:p>
            <w:pPr>
              <w:pStyle w:val="Normal"/>
              <w:numPr>
                <w:ilvl w:val="0"/>
                <w:numId w:val="5"/>
              </w:numPr>
              <w:rPr/>
            </w:pPr>
            <w:r>
              <w:rPr>
                <w:rFonts w:cs="Arial" w:ascii="Arial" w:hAnsi="Arial"/>
                <w:lang w:val="en-GB"/>
              </w:rPr>
              <w:t>A proven track record of securing excellent progress and outcomes for all groups of learners.</w:t>
            </w:r>
          </w:p>
          <w:p>
            <w:pPr>
              <w:pStyle w:val="Normal"/>
              <w:numPr>
                <w:ilvl w:val="0"/>
                <w:numId w:val="5"/>
              </w:numPr>
              <w:rPr/>
            </w:pPr>
            <w:r>
              <w:rPr>
                <w:rFonts w:cs="Arial" w:ascii="Arial" w:hAnsi="Arial"/>
                <w:lang w:val="en-GB"/>
              </w:rPr>
              <w:t>Successful experience in researching, implementing and evaluating the most recent developments in pedagogy and learning technologies.</w:t>
            </w:r>
          </w:p>
          <w:p>
            <w:pPr>
              <w:pStyle w:val="Normal"/>
              <w:numPr>
                <w:ilvl w:val="0"/>
                <w:numId w:val="5"/>
              </w:numPr>
              <w:rPr/>
            </w:pPr>
            <w:r>
              <w:rPr>
                <w:rFonts w:cs="Arial" w:ascii="Arial" w:hAnsi="Arial"/>
                <w:lang w:val="en-GB"/>
              </w:rPr>
              <w:t>Evidence of the successful implementation of a project or initiative to improve student outcomes.</w:t>
            </w:r>
          </w:p>
          <w:p>
            <w:pPr>
              <w:pStyle w:val="Normal"/>
              <w:numPr>
                <w:ilvl w:val="0"/>
                <w:numId w:val="5"/>
              </w:numPr>
              <w:rPr/>
            </w:pPr>
            <w:r>
              <w:rPr>
                <w:rFonts w:cs="Arial" w:ascii="Arial" w:hAnsi="Arial"/>
                <w:lang w:val="en-GB"/>
              </w:rPr>
              <w:t>The ability to successfully plan their teaching to ensure it builds on the current and previous achievement of students.</w:t>
            </w:r>
          </w:p>
          <w:p>
            <w:pPr>
              <w:pStyle w:val="Normal"/>
              <w:numPr>
                <w:ilvl w:val="0"/>
                <w:numId w:val="5"/>
              </w:numPr>
              <w:rPr/>
            </w:pPr>
            <w:r>
              <w:rPr>
                <w:rFonts w:cs="Arial" w:ascii="Arial" w:hAnsi="Arial"/>
                <w:lang w:val="en-GB"/>
              </w:rPr>
              <w:t>Secure knowledge of a range of strategies to cater for the needs of all pupils.</w:t>
            </w:r>
          </w:p>
          <w:p>
            <w:pPr>
              <w:pStyle w:val="Normal"/>
              <w:numPr>
                <w:ilvl w:val="0"/>
                <w:numId w:val="5"/>
              </w:numPr>
              <w:rPr/>
            </w:pPr>
            <w:r>
              <w:rPr>
                <w:rFonts w:cs="Arial" w:ascii="Arial" w:hAnsi="Arial"/>
                <w:lang w:val="en-GB"/>
              </w:rPr>
              <w:t>A secure understanding of strategies to assess and feed back to pupils to secure excellent progress.</w:t>
            </w:r>
          </w:p>
          <w:p>
            <w:pPr>
              <w:pStyle w:val="Normal"/>
              <w:rPr>
                <w:rFonts w:ascii="Arial" w:hAnsi="Arial" w:cs="Arial"/>
              </w:rPr>
            </w:pPr>
            <w:r>
              <w:rPr>
                <w:rFonts w:cs="Arial" w:ascii="Arial" w:hAnsi="Arial"/>
              </w:rPr>
            </w:r>
          </w:p>
        </w:tc>
      </w:tr>
    </w:tbl>
    <w:p>
      <w:pPr>
        <w:pStyle w:val="BodyA"/>
        <w:widowControl w:val="false"/>
        <w:ind w:hanging="108" w:left="108" w:right="0"/>
        <w:rPr/>
      </w:pPr>
      <w:r>
        <w:rPr/>
      </w:r>
      <w:r>
        <w:br w:type="page"/>
      </w:r>
    </w:p>
    <w:p>
      <w:pPr>
        <w:pStyle w:val="BodyA"/>
        <w:widowControl w:val="false"/>
        <w:ind w:hanging="108" w:left="108" w:right="0"/>
        <w:rPr>
          <w:rFonts w:ascii="Arial Unicode MS" w:hAnsi="Arial Unicode MS" w:cs="Arial Unicode MS"/>
        </w:rPr>
      </w:pPr>
      <w:r>
        <w:rPr>
          <w:rFonts w:cs="Arial Unicode MS" w:ascii="Arial Unicode MS" w:hAnsi="Arial Unicode MS"/>
        </w:rPr>
      </w:r>
      <w:bookmarkStart w:id="0" w:name="_GoBack"/>
      <w:bookmarkStart w:id="1" w:name="_GoBack"/>
      <w:bookmarkEnd w:id="1"/>
    </w:p>
    <w:p>
      <w:pPr>
        <w:pStyle w:val="BodyA"/>
        <w:widowControl w:val="false"/>
        <w:rPr>
          <w:rFonts w:ascii="Arial Unicode MS" w:hAnsi="Arial Unicode MS" w:cs="Arial Unicode MS"/>
        </w:rPr>
      </w:pPr>
      <w:r>
        <w:rPr>
          <w:rFonts w:cs="Arial Unicode MS" w:ascii="Arial Unicode MS" w:hAnsi="Arial Unicode MS"/>
        </w:rPr>
      </w:r>
    </w:p>
    <w:p>
      <w:pPr>
        <w:pStyle w:val="BodyA"/>
        <w:rPr>
          <w:rFonts w:ascii="Arial" w:hAnsi="Arial" w:eastAsia="Arial" w:cs="Arial"/>
          <w:b/>
          <w:bCs/>
          <w:color w:val="090931"/>
          <w:sz w:val="32"/>
          <w:szCs w:val="32"/>
          <w:u w:val="none" w:color="090931"/>
        </w:rPr>
      </w:pPr>
      <w:r>
        <w:rPr>
          <w:rFonts w:eastAsia="Arial" w:cs="Arial" w:ascii="Arial" w:hAnsi="Arial"/>
          <w:b/>
          <w:bCs/>
          <w:color w:val="090931"/>
          <w:sz w:val="32"/>
          <w:szCs w:val="32"/>
          <w:u w:val="none" w:color="090931"/>
        </w:rPr>
      </w:r>
    </w:p>
    <w:p>
      <w:pPr>
        <w:pStyle w:val="BodyA"/>
        <w:rPr>
          <w:rFonts w:ascii="Arial" w:hAnsi="Arial" w:eastAsia="Arial" w:cs="Arial"/>
          <w:b/>
          <w:bCs/>
          <w:color w:val="090931"/>
          <w:sz w:val="32"/>
          <w:szCs w:val="32"/>
          <w:u w:val="none" w:color="090931"/>
        </w:rPr>
      </w:pPr>
      <w:r>
        <w:rPr>
          <w:rFonts w:eastAsia="Arial" w:cs="Arial" w:ascii="Arial" w:hAnsi="Arial"/>
          <w:b/>
          <w:bCs/>
          <w:color w:val="090931"/>
          <w:sz w:val="32"/>
          <w:szCs w:val="32"/>
          <w:u w:val="none" w:color="090931"/>
        </w:rPr>
      </w:r>
    </w:p>
    <w:p>
      <w:pPr>
        <w:pStyle w:val="BodyA"/>
        <w:rPr/>
      </w:pPr>
      <w:r>
        <w:rPr/>
        <w:drawing>
          <wp:anchor behindDoc="1" distT="0" distB="0" distL="0" distR="0" simplePos="0" locked="0" layoutInCell="1" allowOverlap="1" relativeHeight="7">
            <wp:simplePos x="0" y="0"/>
            <wp:positionH relativeFrom="column">
              <wp:posOffset>1028700</wp:posOffset>
            </wp:positionH>
            <wp:positionV relativeFrom="line">
              <wp:posOffset>-622935</wp:posOffset>
            </wp:positionV>
            <wp:extent cx="3885565" cy="3841115"/>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4"/>
                    <a:srcRect l="-6" t="-6" r="-6" b="-6"/>
                    <a:stretch>
                      <a:fillRect/>
                    </a:stretch>
                  </pic:blipFill>
                  <pic:spPr bwMode="auto">
                    <a:xfrm>
                      <a:off x="0" y="0"/>
                      <a:ext cx="3885565" cy="3841115"/>
                    </a:xfrm>
                    <a:prstGeom prst="rect">
                      <a:avLst/>
                    </a:prstGeom>
                  </pic:spPr>
                </pic:pic>
              </a:graphicData>
            </a:graphic>
          </wp:anchor>
        </w:drawing>
      </w:r>
    </w:p>
    <w:sectPr>
      <w:headerReference w:type="default" r:id="rId5"/>
      <w:footerReference w:type="default" r:id="rId6"/>
      <w:type w:val="nextPage"/>
      <w:pgSz w:w="11906" w:h="16838"/>
      <w:pgMar w:left="1276" w:right="1410" w:gutter="0" w:header="708" w:top="1440" w:footer="708" w:bottom="765"/>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ambria">
    <w:charset w:val="00"/>
    <w:family w:val="roman"/>
    <w:pitch w:val="variable"/>
  </w:font>
  <w:font w:name="Helvetica">
    <w:altName w:val="Arial"/>
    <w:charset w:val="00"/>
    <w:family w:val="swiss"/>
    <w:pitch w:val="variable"/>
  </w:font>
  <w:font w:name="Arial Unicode MS">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6">
          <wp:simplePos x="0" y="0"/>
          <wp:positionH relativeFrom="page">
            <wp:posOffset>-104140</wp:posOffset>
          </wp:positionH>
          <wp:positionV relativeFrom="page">
            <wp:posOffset>-114300</wp:posOffset>
          </wp:positionV>
          <wp:extent cx="7559675" cy="10691495"/>
          <wp:effectExtent l="0" t="0" r="0" b="0"/>
          <wp:wrapNone/>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1"/>
                  <a:srcRect l="-5" t="-3" r="-5" b="-3"/>
                  <a:stretch>
                    <a:fillRect/>
                  </a:stretch>
                </pic:blipFill>
                <pic:spPr bwMode="auto">
                  <a:xfrm>
                    <a:off x="0" y="0"/>
                    <a:ext cx="7559675" cy="1069149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72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i w:val="false"/>
        <w:b/>
        <w:rFonts w:ascii="Arial" w:hAnsi="Arial" w:cs="Arial"/>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lvl w:ilvl="0">
      <w:start w:val="1"/>
      <w:numFmt w:val="decimal"/>
      <w:lvlText w:val="%1."/>
      <w:lvlJc w:val="left"/>
      <w:pPr>
        <w:tabs>
          <w:tab w:val="num" w:pos="0"/>
        </w:tabs>
        <w:ind w:left="1080" w:hanging="720"/>
      </w:pPr>
      <w:rPr>
        <w:b/>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88"/>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pBdr/>
      <w:suppressAutoHyphens w:val="true"/>
      <w:bidi w:val="0"/>
      <w:spacing w:before="0" w:after="0"/>
      <w:jc w:val="left"/>
    </w:pPr>
    <w:rPr>
      <w:rFonts w:ascii="Times New Roman" w:hAnsi="Times New Roman" w:eastAsia="Arial Unicode MS" w:cs="Times New Roman"/>
      <w:color w:val="auto"/>
      <w:kern w:val="0"/>
      <w:sz w:val="24"/>
      <w:szCs w:val="24"/>
      <w:lang w:val="en-US"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Arial" w:hAnsi="Arial" w:cs="Arial"/>
      <w:b/>
      <w:i w:val="false"/>
    </w:rPr>
  </w:style>
  <w:style w:type="character" w:styleId="WW8Num5z0">
    <w:name w:val="WW8Num5z0"/>
    <w:qFormat/>
    <w:rPr>
      <w:rFonts w:ascii="Arial" w:hAnsi="Arial" w:cs="Arial"/>
      <w:b/>
    </w:rPr>
  </w:style>
  <w:style w:type="character" w:styleId="DefaultParagraphFont">
    <w:name w:val="Default Paragraph Font"/>
    <w:qFormat/>
    <w:rPr/>
  </w:style>
  <w:style w:type="character" w:styleId="Hyperlink">
    <w:name w:val="Hyperlink"/>
    <w:rPr>
      <w:u w:val="single"/>
    </w:rPr>
  </w:style>
  <w:style w:type="character" w:styleId="None">
    <w:name w:val="None"/>
    <w:qFormat/>
    <w:rPr/>
  </w:style>
  <w:style w:type="character" w:styleId="Hyperlink0">
    <w:name w:val="Hyperlink.0"/>
    <w:basedOn w:val="None"/>
    <w:qFormat/>
    <w:rPr>
      <w:rFonts w:ascii="Arial" w:hAnsi="Arial" w:eastAsia="Arial" w:cs="Arial"/>
      <w:sz w:val="20"/>
      <w:szCs w:val="20"/>
      <w:lang w:val="en-US"/>
    </w:rPr>
  </w:style>
  <w:style w:type="character" w:styleId="FooterChar">
    <w:name w:val="Footer Char"/>
    <w:basedOn w:val="DefaultParagraphFont"/>
    <w:qFormat/>
    <w:rPr>
      <w:sz w:val="24"/>
      <w:szCs w:val="24"/>
      <w:lang w:val="en-US"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pPr>
      <w:widowControl/>
      <w:pBdr/>
      <w:tabs>
        <w:tab w:val="clear" w:pos="720"/>
        <w:tab w:val="center" w:pos="4320" w:leader="none"/>
        <w:tab w:val="right" w:pos="8640" w:leader="none"/>
      </w:tabs>
      <w:suppressAutoHyphens w:val="true"/>
      <w:bidi w:val="0"/>
      <w:spacing w:before="0" w:after="0"/>
      <w:jc w:val="left"/>
    </w:pPr>
    <w:rPr>
      <w:rFonts w:ascii="Cambria" w:hAnsi="Cambria" w:eastAsia="Arial Unicode MS" w:cs="Arial Unicode MS"/>
      <w:color w:val="000000"/>
      <w:kern w:val="0"/>
      <w:sz w:val="24"/>
      <w:szCs w:val="24"/>
      <w:u w:val="none" w:color="000000"/>
      <w:lang w:val="en-US" w:eastAsia="en-GB" w:bidi="ar-SA"/>
    </w:rPr>
  </w:style>
  <w:style w:type="paragraph" w:styleId="HeaderFooter">
    <w:name w:val="Header &amp; Footer"/>
    <w:qFormat/>
    <w:pPr>
      <w:widowControl/>
      <w:pBdr/>
      <w:tabs>
        <w:tab w:val="clear" w:pos="720"/>
        <w:tab w:val="right" w:pos="9020" w:leader="none"/>
      </w:tabs>
      <w:suppressAutoHyphens w:val="true"/>
      <w:bidi w:val="0"/>
      <w:spacing w:before="0" w:after="0"/>
      <w:jc w:val="left"/>
    </w:pPr>
    <w:rPr>
      <w:rFonts w:ascii="Helvetica;Arial" w:hAnsi="Helvetica;Arial" w:eastAsia="Arial Unicode MS" w:cs="Arial Unicode MS"/>
      <w:color w:val="000000"/>
      <w:kern w:val="0"/>
      <w:sz w:val="24"/>
      <w:szCs w:val="24"/>
      <w:lang w:val="en-GB" w:eastAsia="en-GB" w:bidi="ar-SA"/>
    </w:rPr>
  </w:style>
  <w:style w:type="paragraph" w:styleId="BodyA">
    <w:name w:val="Body A"/>
    <w:qFormat/>
    <w:pPr>
      <w:widowControl/>
      <w:pBdr/>
      <w:suppressAutoHyphens w:val="true"/>
      <w:bidi w:val="0"/>
      <w:spacing w:before="0" w:after="0"/>
      <w:jc w:val="left"/>
    </w:pPr>
    <w:rPr>
      <w:rFonts w:ascii="Cambria" w:hAnsi="Cambria" w:eastAsia="Arial Unicode MS" w:cs="Arial Unicode MS"/>
      <w:color w:val="000000"/>
      <w:kern w:val="0"/>
      <w:sz w:val="24"/>
      <w:szCs w:val="24"/>
      <w:u w:val="none" w:color="000000"/>
      <w:lang w:val="en-GB" w:eastAsia="en-GB" w:bidi="ar-SA"/>
    </w:rPr>
  </w:style>
  <w:style w:type="paragraph" w:styleId="Footer">
    <w:name w:val="Footer"/>
    <w:basedOn w:val="Normal"/>
    <w:pPr>
      <w:tabs>
        <w:tab w:val="clear" w:pos="720"/>
        <w:tab w:val="center" w:pos="4513" w:leader="none"/>
        <w:tab w:val="right" w:pos="9026" w:leader="none"/>
      </w:tab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g.perkins@allhallowsrc.co.uk" TargetMode="External"/><Relationship Id="rId4" Type="http://schemas.openxmlformats.org/officeDocument/2006/relationships/image" Target="media/image2.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