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300" w:before="0" w:after="280"/>
        <w:ind w:left="0" w:hanging="0"/>
        <w:rPr>
          <w:rFonts w:ascii="Segoe UI" w:hAnsi="Segoe UI" w:eastAsia="Times New Roman" w:cs="Segoe UI"/>
          <w:b/>
          <w:b/>
          <w:bCs/>
          <w:kern w:val="0"/>
          <w:sz w:val="36"/>
          <w:szCs w:val="36"/>
          <w:lang w:eastAsia="en-GB"/>
        </w:rPr>
      </w:pPr>
      <w:r>
        <w:rPr>
          <w:rFonts w:eastAsia="Times New Roman" w:cs="Segoe UI" w:ascii="Segoe UI" w:hAnsi="Segoe UI"/>
          <w:b/>
          <w:bCs/>
          <w:kern w:val="0"/>
          <w:sz w:val="36"/>
          <w:szCs w:val="36"/>
          <w:lang w:eastAsia="en-GB"/>
        </w:rPr>
        <w:t>Head of Service –Development Management</w:t>
      </w:r>
    </w:p>
    <w:p>
      <w:pPr>
        <w:pStyle w:val="Normal"/>
        <w:spacing w:lineRule="atLeast" w:line="300" w:before="280" w:after="28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If you’re an experienced and strategic planning professional with strong leadership credentials, this is an opportunity to play a leading role in shaping the future of Salford’s growth and development.</w:t>
      </w:r>
    </w:p>
    <w:p>
      <w:pPr>
        <w:pStyle w:val="Normal"/>
        <w:spacing w:lineRule="atLeast" w:line="300" w:before="280" w:after="28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The scale and pace of regeneration across the city means you will be at the forefront of delivering high-quality, sustainable development. You’ll lead a key statutory service, influence planning decisions at scale, and work closely with senior stakeholders across Salford and Greater Manchester.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kern w:val="0"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kern w:val="0"/>
          <w:sz w:val="27"/>
          <w:szCs w:val="27"/>
          <w:lang w:eastAsia="en-GB"/>
        </w:rPr>
        <w:t>Why join us in Infrastructure?</w:t>
      </w:r>
    </w:p>
    <w:p>
      <w:pPr>
        <w:pStyle w:val="Normal"/>
        <w:numPr>
          <w:ilvl w:val="0"/>
          <w:numId w:val="2"/>
        </w:numPr>
        <w:spacing w:lineRule="atLeast" w:line="300" w:before="28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Scale of growth and regeneration in Salford.</w:t>
      </w:r>
    </w:p>
    <w:p>
      <w:pPr>
        <w:pStyle w:val="Normal"/>
        <w:numPr>
          <w:ilvl w:val="0"/>
          <w:numId w:val="2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Opportunity to lead a high-profile planning service at a time of significant change.</w:t>
      </w:r>
    </w:p>
    <w:p>
      <w:pPr>
        <w:pStyle w:val="Normal"/>
        <w:numPr>
          <w:ilvl w:val="0"/>
          <w:numId w:val="2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Influence at city and Greater Manchester level, including involvement in regional planning networks.</w:t>
      </w:r>
    </w:p>
    <w:p>
      <w:pPr>
        <w:pStyle w:val="Normal"/>
        <w:numPr>
          <w:ilvl w:val="0"/>
          <w:numId w:val="2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Close collaboration with Building Control, Development and Investment teams.</w:t>
      </w:r>
    </w:p>
    <w:p>
      <w:pPr>
        <w:pStyle w:val="Normal"/>
        <w:numPr>
          <w:ilvl w:val="0"/>
          <w:numId w:val="2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Strong learning culture with a focus on continuous development.</w:t>
      </w:r>
    </w:p>
    <w:p>
      <w:pPr>
        <w:pStyle w:val="Normal"/>
        <w:numPr>
          <w:ilvl w:val="0"/>
          <w:numId w:val="2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Dedicated leadership and digital skills development programmes, tools and eLearning.</w:t>
      </w:r>
    </w:p>
    <w:p>
      <w:pPr>
        <w:pStyle w:val="Normal"/>
        <w:numPr>
          <w:ilvl w:val="0"/>
          <w:numId w:val="2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Hybrid/flexible working.</w:t>
      </w:r>
    </w:p>
    <w:p>
      <w:pPr>
        <w:pStyle w:val="Normal"/>
        <w:numPr>
          <w:ilvl w:val="0"/>
          <w:numId w:val="2"/>
        </w:numPr>
        <w:spacing w:lineRule="atLeast" w:line="300" w:before="0" w:after="28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Competitive package, including excellent pension.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kern w:val="0"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kern w:val="0"/>
          <w:sz w:val="27"/>
          <w:szCs w:val="27"/>
          <w:lang w:eastAsia="en-GB"/>
        </w:rPr>
        <w:t>Your role</w:t>
      </w:r>
    </w:p>
    <w:p>
      <w:pPr>
        <w:pStyle w:val="Normal"/>
        <w:spacing w:lineRule="atLeast" w:line="300" w:before="280" w:after="28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You will provide strategic leadership for Planning Development Management and Technical Support teams, ensuring a high-performing, responsive and forward-looking service that supports the city’s growth ambitions.</w:t>
      </w:r>
    </w:p>
    <w:p>
      <w:pPr>
        <w:pStyle w:val="Normal"/>
        <w:spacing w:lineRule="atLeast" w:line="300" w:before="280" w:after="28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As part of the Place senior leadership team, you will work closely with internal and external partners to deliver sustainable development and ensure sound decision-making in a complex regulatory environment. We want you to:</w:t>
      </w:r>
    </w:p>
    <w:p>
      <w:pPr>
        <w:pStyle w:val="Normal"/>
        <w:numPr>
          <w:ilvl w:val="0"/>
          <w:numId w:val="3"/>
        </w:numPr>
        <w:spacing w:lineRule="atLeast" w:line="300" w:before="28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Lead and inspire a professional workforce, developing capability and high performance.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Provide strategic direction and leadership for development management services.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Promote the role of planning at a city and Greater Manchester level.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Ensure robust, legally sound planning decisions in line with policy and legislation.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Drive service transformation, innovation and digital enablement.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Manage service budgets, income and financial performance.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Work closely with Planning, Building Control, Development and Investment teams to maximise growth opportunities.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Build strong relationships with elected members, developers, partners and stakeholders.</w:t>
      </w:r>
    </w:p>
    <w:p>
      <w:pPr>
        <w:pStyle w:val="Normal"/>
        <w:numPr>
          <w:ilvl w:val="0"/>
          <w:numId w:val="3"/>
        </w:numPr>
        <w:spacing w:lineRule="atLeast" w:line="300" w:before="0" w:after="28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Oversee governance, performance management and continuous improvement.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kern w:val="0"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kern w:val="0"/>
          <w:sz w:val="27"/>
          <w:szCs w:val="27"/>
          <w:lang w:eastAsia="en-GB"/>
        </w:rPr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kern w:val="0"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kern w:val="0"/>
          <w:sz w:val="27"/>
          <w:szCs w:val="27"/>
          <w:lang w:eastAsia="en-GB"/>
        </w:rPr>
        <w:t>Your profile</w:t>
      </w:r>
    </w:p>
    <w:p>
      <w:pPr>
        <w:pStyle w:val="Normal"/>
        <w:numPr>
          <w:ilvl w:val="0"/>
          <w:numId w:val="4"/>
        </w:numPr>
        <w:spacing w:lineRule="atLeast" w:line="300" w:before="280" w:after="0"/>
        <w:rPr/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 xml:space="preserve">Degree-level qualification and significant post-qualification experience </w:t>
      </w:r>
      <w:r>
        <w:rPr>
          <w:rFonts w:eastAsia="Times New Roman" w:cs="Segoe UI" w:ascii="Segoe UI" w:hAnsi="Segoe UI"/>
          <w:kern w:val="0"/>
          <w:sz w:val="21"/>
          <w:szCs w:val="21"/>
          <w:highlight w:val="yellow"/>
          <w:lang w:eastAsia="en-GB"/>
        </w:rPr>
        <w:t>(typically 15+ years),</w:t>
      </w: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 xml:space="preserve"> ideally within a local planning authority. 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 xml:space="preserve">Extensive experience in planning, development management or a related discipline. 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 xml:space="preserve">Proven leadership of services, teams or complex programmes. 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 xml:space="preserve">Strong technical knowledge of planning legislation, policy and regulatory frameworks. 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Experience managing budgets, governance and risk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 xml:space="preserve">Strong commercial awareness and understanding of development delivery. 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Excellent stakeholder management skills, including engagement with senior leaders and elected members.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 xml:space="preserve">Strong communication, organisational and problem-solving skills. </w:t>
      </w:r>
    </w:p>
    <w:p>
      <w:pPr>
        <w:pStyle w:val="Normal"/>
        <w:numPr>
          <w:ilvl w:val="0"/>
          <w:numId w:val="4"/>
        </w:numPr>
        <w:spacing w:lineRule="atLeast" w:line="300" w:before="0" w:after="280"/>
        <w:rPr>
          <w:rFonts w:ascii="Segoe UI" w:hAnsi="Segoe UI" w:eastAsia="Times New Roman" w:cs="Segoe UI"/>
          <w:kern w:val="0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kern w:val="0"/>
          <w:sz w:val="21"/>
          <w:szCs w:val="21"/>
          <w:lang w:eastAsia="en-GB"/>
        </w:rPr>
        <w:t>Experience developing and leading teams to achieve high performance.</w:t>
      </w:r>
    </w:p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kern w:val="0"/>
        <w:szCs w:val="21"/>
        <w:rFonts w:cs="Symbol"/>
        <w:lang w:eastAsia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Aptos" w:hAnsi="Aptos" w:eastAsia="Aptos" w:cs="Arial"/>
      <w:color w:val="auto"/>
      <w:kern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Times New Roman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Times New Roman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Times New Roman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Times New Roman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Times New Roman"/>
      <w:color w:val="272727"/>
    </w:rPr>
  </w:style>
  <w:style w:type="character" w:styleId="WW8Num1z0">
    <w:name w:val="WW8Num1z0"/>
    <w:qFormat/>
    <w:rPr>
      <w:rFonts w:ascii="Symbol" w:hAnsi="Symbol" w:cs="Symbol"/>
      <w:sz w:val="21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1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eastAsia="Times New Roman" w:cs="Symbol"/>
      <w:kern w:val="0"/>
      <w:sz w:val="21"/>
      <w:szCs w:val="21"/>
      <w:lang w:eastAsia="en-GB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Times New Roman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Times New Roman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Times New Roman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Times New Roman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Times New Roman"/>
      <w:color w:val="0F4761"/>
    </w:rPr>
  </w:style>
  <w:style w:type="character" w:styleId="Heading6Char">
    <w:name w:val="Heading 6 Char"/>
    <w:basedOn w:val="DefaultParagraphFont"/>
    <w:qFormat/>
    <w:rPr>
      <w:rFonts w:eastAsia="" w:cs="Times New Roman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Times New Roman"/>
      <w:color w:val="595959"/>
    </w:rPr>
  </w:style>
  <w:style w:type="character" w:styleId="Heading8Char">
    <w:name w:val="Heading 8 Char"/>
    <w:basedOn w:val="DefaultParagraphFont"/>
    <w:qFormat/>
    <w:rPr>
      <w:rFonts w:eastAsia="" w:cs="Times New Roman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Times New Roman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Times New Roman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Times New Roman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Times New Roman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2026-07-01T10:01:00Z</dcterms:created>
  <dc:creator>Battersby, Tricia</dc:creator>
  <dc:description/>
  <dc:language>en-US</dc:language>
  <cp:lastModifiedBy>Battersby, Tricia</cp:lastModifiedBy>
  <cp:lastPrinted>1995-11-21T17:41:00Z</cp:lastPrinted>
  <dcterms:modified xsi:type="dcterms:W3CDTF">2026-07-01T13:11:00Z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