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520" w:after="80"/>
        <w:jc w:val="center"/>
        <w:rPr>
          <w:b/>
          <w:color w:val="0D0D0D"/>
          <w:sz w:val="24"/>
          <w:szCs w:val="24"/>
        </w:rPr>
      </w:pPr>
      <w:r>
        <w:rPr>
          <w:b/>
          <w:color w:val="0D0D0D"/>
          <w:sz w:val="24"/>
          <w:szCs w:val="24"/>
        </w:rPr>
      </w:r>
    </w:p>
    <w:p>
      <w:pPr>
        <w:pStyle w:val="Normal"/>
        <w:spacing w:before="520" w:after="80"/>
        <w:jc w:val="center"/>
        <w:rPr>
          <w:b/>
          <w:color w:val="0D0D0D"/>
          <w:sz w:val="24"/>
          <w:szCs w:val="24"/>
        </w:rPr>
      </w:pPr>
      <w:r>
        <w:rPr>
          <w:b/>
          <w:color w:val="0D0D0D"/>
          <w:sz w:val="24"/>
          <w:szCs w:val="24"/>
        </w:rPr>
      </w:r>
    </w:p>
    <w:p>
      <w:pPr>
        <w:pStyle w:val="Normal"/>
        <w:spacing w:before="80" w:after="200"/>
        <w:jc w:val="center"/>
        <w:rPr>
          <w:b/>
        </w:rPr>
      </w:pPr>
      <w:r>
        <w:rPr>
          <w:b/>
        </w:rPr>
        <w:t>Exciting opportunity to play a leading role in the delivery of a Prehabilitation and Recovery Service supporting people affected by cancer in Greater Manchester</w:t>
      </w:r>
    </w:p>
    <w:p>
      <w:pPr>
        <w:pStyle w:val="Normal"/>
        <w:spacing w:before="80" w:after="200"/>
        <w:jc w:val="center"/>
        <w:rPr>
          <w:b/>
        </w:rPr>
      </w:pPr>
      <w:r>
        <w:rPr>
          <w:b/>
        </w:rPr>
      </w:r>
    </w:p>
    <w:p>
      <w:pPr>
        <w:pStyle w:val="Normal"/>
        <w:spacing w:lineRule="auto" w:line="240" w:before="80" w:after="200"/>
        <w:rPr/>
      </w:pPr>
      <w:r>
        <w:rPr>
          <w:sz w:val="22"/>
          <w:lang w:val="en-GB"/>
        </w:rPr>
        <w:t xml:space="preserve">Salford Community Leisure is recruiting on behalf of GM Active CIC for a skilled and motivated </w:t>
      </w:r>
      <w:r>
        <w:rPr>
          <w:b/>
          <w:bCs/>
          <w:sz w:val="22"/>
          <w:lang w:val="en-GB"/>
        </w:rPr>
        <w:t>Prehab4Cancer Exercise Specialist</w:t>
      </w:r>
      <w:r>
        <w:rPr>
          <w:sz w:val="22"/>
          <w:lang w:val="en-GB"/>
        </w:rPr>
        <w:t>.</w:t>
      </w:r>
    </w:p>
    <w:p>
      <w:pPr>
        <w:pStyle w:val="Normal"/>
        <w:spacing w:lineRule="auto" w:line="240" w:before="80" w:after="200"/>
        <w:rPr>
          <w:sz w:val="22"/>
          <w:lang w:val="en-GB"/>
        </w:rPr>
      </w:pPr>
      <w:r>
        <w:rPr>
          <w:sz w:val="22"/>
          <w:lang w:val="en-GB"/>
        </w:rPr>
        <w:t>This is an exciting opportunity to join the multi-award-winning Prehab4Cancer programme, helping people affected by cancer across Greater Manchester prepare for treatment, recover well and improve their quality of life.</w:t>
      </w:r>
    </w:p>
    <w:p>
      <w:pPr>
        <w:pStyle w:val="Normal"/>
        <w:spacing w:lineRule="auto" w:line="240" w:before="80" w:after="200"/>
        <w:rPr>
          <w:sz w:val="22"/>
          <w:lang w:val="en-GB"/>
        </w:rPr>
      </w:pPr>
      <w:r>
        <w:rPr>
          <w:sz w:val="22"/>
          <w:lang w:val="en-GB"/>
        </w:rPr>
        <w:t>Prehab4Cancer delivers a specialist, evidence-led programme of exercise, nutrition and wellbeing support before and after cancer treatment. Working as part of our core delivery team, you will provide tailored face-to-face and remote support, empowering patients to build resilience, maintain independence and take an active role in their care.</w:t>
      </w:r>
    </w:p>
    <w:p>
      <w:pPr>
        <w:pStyle w:val="Normal"/>
        <w:spacing w:lineRule="auto" w:line="240" w:before="80" w:after="200"/>
        <w:rPr>
          <w:sz w:val="22"/>
          <w:lang w:val="en-GB"/>
        </w:rPr>
      </w:pPr>
      <w:r>
        <w:rPr>
          <w:sz w:val="22"/>
          <w:lang w:val="en-GB"/>
        </w:rPr>
        <w:t>You will work across a defined Greater Manchester locality, managing a varied patient caseload and providing flexible cover where required to meet service need. The role includes both community-based delivery and remote working.</w:t>
      </w:r>
    </w:p>
    <w:p>
      <w:pPr>
        <w:pStyle w:val="Normal"/>
        <w:spacing w:lineRule="auto" w:line="240" w:before="80" w:after="200"/>
        <w:rPr>
          <w:sz w:val="22"/>
          <w:lang w:val="en-GB"/>
        </w:rPr>
      </w:pPr>
      <w:r>
        <w:rPr>
          <w:sz w:val="22"/>
          <w:lang w:val="en-GB"/>
        </w:rPr>
        <w:t>You will receive guidance and support from the Programme Manager and work closely with a passionate multidisciplinary team committed to delivering high-quality, person-centred care. This is a chance to contribute to an innovative service that continues to shape cancer prehabilitation and rehabilitation across the region.</w:t>
      </w:r>
    </w:p>
    <w:p>
      <w:pPr>
        <w:pStyle w:val="Normal"/>
        <w:spacing w:lineRule="auto" w:line="240" w:before="80" w:after="200"/>
        <w:rPr>
          <w:sz w:val="22"/>
          <w:lang w:val="en-GB"/>
        </w:rPr>
      </w:pPr>
      <w:r>
        <w:rPr>
          <w:sz w:val="22"/>
          <w:lang w:val="en-GB"/>
        </w:rPr>
        <w:t>GM Active brings together 11 public leisure and community organisations with a shared ambition to improve health and wellbeing through physical activity. The Prehab4Cancer core team is hosted by Salford Community Leisure, an organisation committed to enhancing the lives of people in Salford through sport, leisure and cultural opportunities.</w:t>
      </w:r>
    </w:p>
    <w:p>
      <w:pPr>
        <w:pStyle w:val="Normal"/>
        <w:spacing w:lineRule="auto" w:line="240" w:before="80" w:after="200"/>
        <w:rPr>
          <w:sz w:val="22"/>
          <w:lang w:val="en-GB"/>
        </w:rPr>
      </w:pPr>
      <w:r>
        <w:rPr>
          <w:sz w:val="22"/>
          <w:lang w:val="en-GB"/>
        </w:rPr>
        <w:t>We are looking for someone who is professional, compassionate, knowledgeable and solution-focused, with a genuine commitment to improving outcomes for people affected by cancer.</w:t>
      </w:r>
    </w:p>
    <w:p>
      <w:pPr>
        <w:pStyle w:val="Normal"/>
        <w:spacing w:lineRule="auto" w:line="240" w:before="80" w:after="200"/>
        <w:rPr/>
      </w:pPr>
      <w:r>
        <w:rPr>
          <w:sz w:val="22"/>
          <w:lang w:val="en-GB"/>
        </w:rPr>
        <w:t xml:space="preserve">Our Recruitment and Employment Privacy Notice is available at </w:t>
      </w:r>
      <w:r>
        <w:rPr>
          <w:rStyle w:val="Hyperlink"/>
          <w:sz w:val="22"/>
          <w:lang w:val="en-GB"/>
        </w:rPr>
        <w:t>salford.gov.uk/gdpr</w:t>
      </w:r>
      <w:r>
        <w:rPr>
          <w:sz w:val="22"/>
          <w:lang w:val="en-GB"/>
        </w:rPr>
        <w:t xml:space="preserve">. Find out more about Salford Community Leisure at </w:t>
      </w:r>
      <w:r>
        <w:rPr>
          <w:rStyle w:val="Hyperlink"/>
          <w:sz w:val="22"/>
          <w:lang w:val="en-GB"/>
        </w:rPr>
        <w:t>salfordcommunityleisure.co.uk</w:t>
      </w:r>
      <w:r>
        <w:rPr>
          <w:sz w:val="22"/>
          <w:lang w:val="en-GB"/>
        </w:rPr>
        <w:t>.</w:t>
      </w:r>
    </w:p>
    <w:p>
      <w:pPr>
        <w:pStyle w:val="Normal"/>
        <w:spacing w:lineRule="auto" w:line="240" w:before="80" w:after="200"/>
        <w:rPr>
          <w:sz w:val="22"/>
          <w:lang w:val="en-GB"/>
        </w:rPr>
      </w:pPr>
      <w:r>
        <w:rPr>
          <w:sz w:val="22"/>
          <w:lang w:val="en-GB"/>
        </w:rPr>
      </w:r>
    </w:p>
    <w:p>
      <w:pPr>
        <w:pStyle w:val="Normal"/>
        <w:spacing w:lineRule="auto" w:line="240" w:before="80" w:after="200"/>
        <w:rPr>
          <w:sz w:val="22"/>
          <w:lang w:val="en-GB"/>
        </w:rPr>
      </w:pPr>
      <w:r>
        <w:rPr>
          <w:sz w:val="22"/>
          <w:lang w:val="en-GB"/>
        </w:rPr>
      </w:r>
    </w:p>
    <w:p>
      <w:pPr>
        <w:pStyle w:val="Normal"/>
        <w:spacing w:lineRule="auto" w:line="240" w:before="80" w:after="200"/>
        <w:rPr>
          <w:sz w:val="22"/>
          <w:lang w:val="en-GB"/>
        </w:rPr>
      </w:pPr>
      <w:r>
        <w:rPr>
          <w:sz w:val="22"/>
          <w:lang w:val="en-GB"/>
        </w:rPr>
      </w:r>
    </w:p>
    <w:p>
      <w:pPr>
        <w:pStyle w:val="Normal"/>
        <w:spacing w:lineRule="auto" w:line="240" w:before="80" w:after="200"/>
        <w:rPr>
          <w:sz w:val="22"/>
          <w:lang w:val="en-GB"/>
        </w:rPr>
      </w:pPr>
      <w:r>
        <w:rPr>
          <w:sz w:val="22"/>
          <w:lang w:val="en-GB"/>
        </w:rPr>
      </w:r>
    </w:p>
    <w:p>
      <w:pPr>
        <w:pStyle w:val="Normal"/>
        <w:spacing w:lineRule="auto" w:line="240" w:before="80" w:after="200"/>
        <w:rPr>
          <w:sz w:val="22"/>
          <w:lang w:val="en-GB"/>
        </w:rPr>
      </w:pPr>
      <w:r>
        <w:rPr>
          <w:sz w:val="22"/>
          <w:lang w:val="en-GB"/>
        </w:rPr>
      </w:r>
    </w:p>
    <w:p>
      <w:pPr>
        <w:pStyle w:val="Normal"/>
        <w:spacing w:lineRule="auto" w:line="240" w:before="80" w:after="200"/>
        <w:rPr>
          <w:sz w:val="22"/>
          <w:lang w:val="en-GB"/>
        </w:rPr>
      </w:pPr>
      <w:r>
        <w:rPr>
          <w:sz w:val="22"/>
          <w:lang w:val="en-GB"/>
        </w:rPr>
      </w:r>
    </w:p>
    <w:p>
      <w:pPr>
        <w:pStyle w:val="Normal"/>
        <w:spacing w:lineRule="auto" w:line="240" w:before="80" w:after="200"/>
        <w:rPr>
          <w:sz w:val="22"/>
          <w:lang w:val="en-GB"/>
        </w:rPr>
      </w:pPr>
      <w:r>
        <w:rPr>
          <w:sz w:val="22"/>
          <w:lang w:val="en-GB"/>
        </w:rPr>
      </w:r>
    </w:p>
    <w:p>
      <w:pPr>
        <w:pStyle w:val="Normal"/>
        <w:spacing w:lineRule="auto" w:line="240" w:before="80" w:after="200"/>
        <w:jc w:val="center"/>
        <w:rPr>
          <w:b/>
          <w:color w:val="0D0D0D"/>
          <w:sz w:val="24"/>
          <w:szCs w:val="24"/>
        </w:rPr>
      </w:pPr>
      <w:r>
        <w:rPr>
          <w:b/>
          <w:color w:val="0D0D0D"/>
          <w:sz w:val="24"/>
          <w:szCs w:val="24"/>
        </w:rPr>
        <w:t>Prehab4Cancer Exercise Specialist</w:t>
      </w:r>
    </w:p>
    <w:p>
      <w:pPr>
        <w:pStyle w:val="Normal"/>
        <w:spacing w:before="0" w:after="320"/>
        <w:jc w:val="center"/>
        <w:rPr>
          <w:color w:val="0D0D0D"/>
          <w:sz w:val="24"/>
          <w:szCs w:val="24"/>
        </w:rPr>
      </w:pPr>
      <w:r>
        <w:rPr>
          <w:color w:val="0D0D0D"/>
          <w:sz w:val="24"/>
          <w:szCs w:val="24"/>
        </w:rPr>
        <w:t>Job description and person specification</w:t>
      </w:r>
    </w:p>
    <w:tbl>
      <w:tblPr>
        <w:tblW w:w="10146" w:type="dxa"/>
        <w:jc w:val="left"/>
        <w:tblInd w:w="110" w:type="dxa"/>
        <w:tblLayout w:type="fixed"/>
        <w:tblCellMar>
          <w:top w:w="85" w:type="dxa"/>
          <w:left w:w="110" w:type="dxa"/>
          <w:bottom w:w="85" w:type="dxa"/>
          <w:right w:w="110" w:type="dxa"/>
        </w:tblCellMar>
      </w:tblPr>
      <w:tblGrid>
        <w:gridCol w:w="2378"/>
        <w:gridCol w:w="7768"/>
      </w:tblGrid>
      <w:tr>
        <w:trPr>
          <w:trHeight w:val="541"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Employer and host</w:t>
            </w:r>
          </w:p>
        </w:tc>
        <w:tc>
          <w:tcPr>
            <w:tcW w:w="77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color w:val="0D0D0D"/>
                <w:sz w:val="22"/>
              </w:rPr>
            </w:pPr>
            <w:r>
              <w:rPr>
                <w:color w:val="0D0D0D"/>
                <w:sz w:val="22"/>
              </w:rPr>
              <w:t>Salford Community Leisure, delivering Prehab4Cancer on behalf of GM Active.</w:t>
            </w:r>
          </w:p>
        </w:tc>
      </w:tr>
      <w:tr>
        <w:trPr>
          <w:trHeight w:val="278"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Job title</w:t>
            </w:r>
          </w:p>
        </w:tc>
        <w:tc>
          <w:tcPr>
            <w:tcW w:w="7768" w:type="dxa"/>
            <w:tcBorders>
              <w:top w:val="single" w:sz="4" w:space="0" w:color="000000"/>
              <w:left w:val="single" w:sz="4" w:space="0" w:color="000000"/>
              <w:bottom w:val="single" w:sz="4" w:space="0" w:color="000000"/>
              <w:right w:val="single" w:sz="4" w:space="0" w:color="000000"/>
            </w:tcBorders>
            <w:shd w:fill="F2F5F7" w:val="clear"/>
            <w:vAlign w:val="center"/>
          </w:tcPr>
          <w:p>
            <w:pPr>
              <w:pStyle w:val="Normal"/>
              <w:spacing w:lineRule="auto" w:line="240" w:before="0" w:after="0"/>
              <w:rPr>
                <w:color w:val="0D0D0D"/>
                <w:sz w:val="22"/>
              </w:rPr>
            </w:pPr>
            <w:r>
              <w:rPr>
                <w:color w:val="0D0D0D"/>
                <w:sz w:val="22"/>
              </w:rPr>
              <w:t>Prehab4Cancer Exercise Specialist</w:t>
            </w:r>
          </w:p>
        </w:tc>
      </w:tr>
      <w:tr>
        <w:trPr>
          <w:trHeight w:val="278"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Salary and grade</w:t>
            </w:r>
          </w:p>
        </w:tc>
        <w:tc>
          <w:tcPr>
            <w:tcW w:w="77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color w:val="0D0D0D"/>
                <w:sz w:val="22"/>
              </w:rPr>
            </w:pPr>
            <w:r>
              <w:rPr>
                <w:color w:val="0D0D0D"/>
                <w:sz w:val="22"/>
              </w:rPr>
              <w:t>£31,015, £33,673 – 36 Hours Full Time Fixed Term 31/3/27 subject to review</w:t>
            </w:r>
          </w:p>
        </w:tc>
      </w:tr>
      <w:tr>
        <w:trPr>
          <w:trHeight w:val="262"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Reports to</w:t>
            </w:r>
          </w:p>
        </w:tc>
        <w:tc>
          <w:tcPr>
            <w:tcW w:w="7768" w:type="dxa"/>
            <w:tcBorders>
              <w:top w:val="single" w:sz="4" w:space="0" w:color="000000"/>
              <w:left w:val="single" w:sz="4" w:space="0" w:color="000000"/>
              <w:bottom w:val="single" w:sz="4" w:space="0" w:color="000000"/>
              <w:right w:val="single" w:sz="4" w:space="0" w:color="000000"/>
            </w:tcBorders>
            <w:shd w:fill="F2F5F7" w:val="clear"/>
            <w:vAlign w:val="center"/>
          </w:tcPr>
          <w:p>
            <w:pPr>
              <w:pStyle w:val="Normal"/>
              <w:spacing w:lineRule="auto" w:line="240" w:before="0" w:after="0"/>
              <w:rPr>
                <w:color w:val="0D0D0D"/>
                <w:sz w:val="22"/>
              </w:rPr>
            </w:pPr>
            <w:r>
              <w:rPr>
                <w:color w:val="0D0D0D"/>
                <w:sz w:val="22"/>
              </w:rPr>
              <w:t>Prehab4Cancer Service Lead, with day-to-day direction from the Deputy Lead where agreed.</w:t>
            </w:r>
          </w:p>
        </w:tc>
      </w:tr>
      <w:tr>
        <w:trPr>
          <w:trHeight w:val="557"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Programme accountability</w:t>
            </w:r>
          </w:p>
        </w:tc>
        <w:tc>
          <w:tcPr>
            <w:tcW w:w="77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color w:val="0D0D0D"/>
                <w:sz w:val="22"/>
              </w:rPr>
            </w:pPr>
            <w:r>
              <w:rPr>
                <w:color w:val="0D0D0D"/>
                <w:sz w:val="22"/>
              </w:rPr>
              <w:t>Responsible for safe, timely delivery of an allocated Greater Manchester locality caseload within agreed service standards and protocols.</w:t>
            </w:r>
          </w:p>
        </w:tc>
      </w:tr>
      <w:tr>
        <w:trPr>
          <w:trHeight w:val="541"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Clinical governance</w:t>
            </w:r>
          </w:p>
        </w:tc>
        <w:tc>
          <w:tcPr>
            <w:tcW w:w="7768" w:type="dxa"/>
            <w:tcBorders>
              <w:top w:val="single" w:sz="4" w:space="0" w:color="000000"/>
              <w:left w:val="single" w:sz="4" w:space="0" w:color="000000"/>
              <w:bottom w:val="single" w:sz="4" w:space="0" w:color="000000"/>
              <w:right w:val="single" w:sz="4" w:space="0" w:color="000000"/>
            </w:tcBorders>
            <w:shd w:fill="F2F5F7" w:val="clear"/>
            <w:vAlign w:val="center"/>
          </w:tcPr>
          <w:p>
            <w:pPr>
              <w:pStyle w:val="Normal"/>
              <w:spacing w:lineRule="auto" w:line="240" w:before="0" w:after="0"/>
              <w:rPr>
                <w:color w:val="0D0D0D"/>
                <w:sz w:val="22"/>
              </w:rPr>
            </w:pPr>
            <w:r>
              <w:rPr>
                <w:color w:val="0D0D0D"/>
                <w:sz w:val="22"/>
              </w:rPr>
              <w:t>Works within own scope and competence, with clinical escalation to the Exercise Physiologist, Clinical Lead, Service Lead and treating teams as appropriate.</w:t>
            </w:r>
          </w:p>
        </w:tc>
      </w:tr>
      <w:tr>
        <w:trPr>
          <w:trHeight w:val="821"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Responsible for</w:t>
            </w:r>
          </w:p>
        </w:tc>
        <w:tc>
          <w:tcPr>
            <w:tcW w:w="77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color w:val="0D0D0D"/>
                <w:sz w:val="22"/>
              </w:rPr>
            </w:pPr>
            <w:r>
              <w:rPr>
                <w:color w:val="0D0D0D"/>
                <w:sz w:val="22"/>
              </w:rPr>
              <w:t>An allocated patient caseload and coordination with local instructors and venue teams. No formal line-management responsibility.</w:t>
            </w:r>
          </w:p>
        </w:tc>
      </w:tr>
      <w:tr>
        <w:trPr>
          <w:trHeight w:val="541" w:hRule="atLeast"/>
          <w:cantSplit w:val="true"/>
        </w:trPr>
        <w:tc>
          <w:tcPr>
            <w:tcW w:w="2378" w:type="dxa"/>
            <w:tcBorders>
              <w:top w:val="single" w:sz="4" w:space="0" w:color="000000"/>
              <w:left w:val="single" w:sz="4" w:space="0" w:color="000000"/>
              <w:bottom w:val="single" w:sz="4" w:space="0" w:color="000000"/>
              <w:right w:val="single" w:sz="4" w:space="0" w:color="000000"/>
            </w:tcBorders>
            <w:shd w:fill="D9EAF7" w:val="clear"/>
            <w:vAlign w:val="center"/>
          </w:tcPr>
          <w:p>
            <w:pPr>
              <w:pStyle w:val="Normal"/>
              <w:spacing w:lineRule="auto" w:line="240" w:before="0" w:after="0"/>
              <w:rPr>
                <w:b/>
                <w:color w:val="0D0D0D"/>
                <w:sz w:val="22"/>
              </w:rPr>
            </w:pPr>
            <w:r>
              <w:rPr>
                <w:b/>
                <w:color w:val="0D0D0D"/>
                <w:sz w:val="22"/>
              </w:rPr>
              <w:t>Location and hours</w:t>
            </w:r>
          </w:p>
        </w:tc>
        <w:tc>
          <w:tcPr>
            <w:tcW w:w="7768" w:type="dxa"/>
            <w:tcBorders>
              <w:top w:val="single" w:sz="4" w:space="0" w:color="000000"/>
              <w:left w:val="single" w:sz="4" w:space="0" w:color="000000"/>
              <w:bottom w:val="single" w:sz="4" w:space="0" w:color="000000"/>
              <w:right w:val="single" w:sz="4" w:space="0" w:color="000000"/>
            </w:tcBorders>
            <w:shd w:fill="F2F5F7" w:val="clear"/>
            <w:vAlign w:val="center"/>
          </w:tcPr>
          <w:p>
            <w:pPr>
              <w:pStyle w:val="Normal"/>
              <w:spacing w:lineRule="auto" w:line="240" w:before="0" w:after="0"/>
              <w:rPr>
                <w:color w:val="0D0D0D"/>
                <w:sz w:val="22"/>
              </w:rPr>
            </w:pPr>
            <w:r>
              <w:rPr>
                <w:color w:val="0D0D0D"/>
                <w:sz w:val="22"/>
              </w:rPr>
              <w:t>Greater Manchester-wide across allocated localities. Contractual base, hours, flexible working and travel arrangements to be confirmed.</w:t>
            </w:r>
          </w:p>
        </w:tc>
      </w:tr>
    </w:tbl>
    <w:p>
      <w:pPr>
        <w:pStyle w:val="Heading1"/>
        <w:spacing w:before="240" w:after="100"/>
        <w:ind w:hanging="0" w:left="0"/>
        <w:rPr>
          <w:rFonts w:ascii="Aptos" w:hAnsi="Aptos" w:cs="Aptos"/>
          <w:color w:val="0D0D0D"/>
          <w:sz w:val="24"/>
          <w:szCs w:val="24"/>
        </w:rPr>
      </w:pPr>
      <w:r>
        <w:rPr>
          <w:rFonts w:cs="Aptos" w:ascii="Aptos" w:hAnsi="Aptos"/>
          <w:color w:val="0D0D0D"/>
          <w:sz w:val="24"/>
          <w:szCs w:val="24"/>
        </w:rPr>
        <w:t>Job purpose</w:t>
      </w:r>
    </w:p>
    <w:p>
      <w:pPr>
        <w:pStyle w:val="Normal"/>
        <w:spacing w:lineRule="auto" w:line="256" w:before="0" w:after="120"/>
        <w:rPr>
          <w:color w:val="0D0D0D"/>
          <w:sz w:val="22"/>
        </w:rPr>
      </w:pPr>
      <w:r>
        <w:rPr>
          <w:color w:val="0D0D0D"/>
          <w:sz w:val="22"/>
        </w:rPr>
        <w:t>The Prehab4Cancer Exercise Specialist is a delivery-focused post within a Greater Manchester-wide cancer prehabilitation and rehabilitation service. The postholder will provide safe, accessible and person-centred exercise and wellbeing support for people affected by cancer, helping them prepare for treatment, maintain function and recover throughout their pathway.</w:t>
      </w:r>
    </w:p>
    <w:p>
      <w:pPr>
        <w:pStyle w:val="Normal"/>
        <w:spacing w:lineRule="auto" w:line="256" w:before="0" w:after="120"/>
        <w:rPr>
          <w:color w:val="0D0D0D"/>
          <w:sz w:val="22"/>
        </w:rPr>
      </w:pPr>
      <w:r>
        <w:rPr>
          <w:color w:val="0D0D0D"/>
          <w:sz w:val="22"/>
        </w:rPr>
        <w:t>The role will manage an allocated caseload of referrals from agreed Greater Manchester localities. This includes timely contact, assessment, exercise planning, delivery, review, discharge and transition to suitable community provision, using established protocols and escalating matters beyond the postholder's competence without delay.</w:t>
      </w:r>
    </w:p>
    <w:p>
      <w:pPr>
        <w:pStyle w:val="Normal"/>
        <w:spacing w:lineRule="auto" w:line="256" w:before="0" w:after="120"/>
        <w:rPr>
          <w:color w:val="0D0D0D"/>
          <w:sz w:val="22"/>
        </w:rPr>
      </w:pPr>
      <w:r>
        <w:rPr>
          <w:color w:val="0D0D0D"/>
          <w:sz w:val="22"/>
        </w:rPr>
        <w:t>Working closely with local instructors, leisure teams and the wider Prehab4Cancer workforce, the Exercise Specialist will ensure delivery is practical, responsive and matched to patient need. The postholder will provide flexible cross-cover during annual leave, illness, referral surges and other short-term operational pressures to protect continuity of care and patient access.</w:t>
      </w:r>
    </w:p>
    <w:p>
      <w:pPr>
        <w:pStyle w:val="Normal"/>
        <w:spacing w:lineRule="auto" w:line="256" w:before="0" w:after="120"/>
        <w:rPr>
          <w:color w:val="0D0D0D"/>
          <w:sz w:val="22"/>
        </w:rPr>
      </w:pPr>
      <w:r>
        <w:rPr>
          <w:color w:val="0D0D0D"/>
          <w:sz w:val="22"/>
        </w:rPr>
      </w:r>
    </w:p>
    <w:p>
      <w:pPr>
        <w:pStyle w:val="Heading1"/>
        <w:spacing w:before="240" w:after="100"/>
        <w:ind w:hanging="0" w:left="0"/>
        <w:rPr>
          <w:rFonts w:ascii="Aptos" w:hAnsi="Aptos" w:cs="Aptos"/>
          <w:color w:val="0D0D0D"/>
          <w:sz w:val="24"/>
          <w:szCs w:val="24"/>
        </w:rPr>
      </w:pPr>
      <w:r>
        <w:rPr>
          <w:rFonts w:cs="Aptos" w:ascii="Aptos" w:hAnsi="Aptos"/>
          <w:color w:val="0D0D0D"/>
          <w:sz w:val="24"/>
          <w:szCs w:val="24"/>
        </w:rPr>
        <w:t>Role context and accountabilities</w:t>
      </w:r>
    </w:p>
    <w:p>
      <w:pPr>
        <w:pStyle w:val="ListBullet"/>
        <w:numPr>
          <w:ilvl w:val="0"/>
          <w:numId w:val="2"/>
        </w:numPr>
        <w:spacing w:lineRule="auto" w:line="244" w:before="0" w:after="60"/>
        <w:contextualSpacing/>
        <w:rPr/>
      </w:pPr>
      <w:r>
        <w:rPr>
          <w:color w:val="0D0D0D"/>
          <w:sz w:val="22"/>
        </w:rPr>
        <w:t>Maintain ownership of an agreed locality caseload from referral acceptance to discharge or onward transition, keeping patients informed and supported throughout their programme.</w:t>
      </w:r>
    </w:p>
    <w:p>
      <w:pPr>
        <w:pStyle w:val="ListBullet"/>
        <w:numPr>
          <w:ilvl w:val="0"/>
          <w:numId w:val="2"/>
        </w:numPr>
        <w:spacing w:lineRule="auto" w:line="244" w:before="0" w:after="60"/>
        <w:contextualSpacing/>
        <w:rPr/>
      </w:pPr>
      <w:r>
        <w:rPr>
          <w:color w:val="0D0D0D"/>
          <w:sz w:val="22"/>
        </w:rPr>
        <w:t>Deliver exercise assessment, supervised activity, personalised exercise plans, reviews and behaviour-change support within established protocols, qualifications and competence.</w:t>
      </w:r>
    </w:p>
    <w:p>
      <w:pPr>
        <w:pStyle w:val="ListBullet"/>
        <w:numPr>
          <w:ilvl w:val="0"/>
          <w:numId w:val="2"/>
        </w:numPr>
        <w:spacing w:lineRule="auto" w:line="244" w:before="0" w:after="60"/>
        <w:contextualSpacing/>
        <w:rPr/>
      </w:pPr>
      <w:r>
        <w:rPr>
          <w:color w:val="0D0D0D"/>
          <w:sz w:val="22"/>
        </w:rPr>
        <w:t>Work alongside local instructors and venue teams to organise safe, accessible and timely delivery around each patient's needs, preferences, capacity and availability.</w:t>
      </w:r>
    </w:p>
    <w:p>
      <w:pPr>
        <w:pStyle w:val="ListBullet"/>
        <w:numPr>
          <w:ilvl w:val="0"/>
          <w:numId w:val="2"/>
        </w:numPr>
        <w:spacing w:lineRule="auto" w:line="244" w:before="0" w:after="60"/>
        <w:contextualSpacing/>
        <w:rPr/>
      </w:pPr>
      <w:r>
        <w:rPr>
          <w:color w:val="0D0D0D"/>
          <w:sz w:val="22"/>
        </w:rPr>
        <w:t>Provide planned and responsive cross-cover across Greater Manchester during annual leave, illness, venue disruption, referral surges and other short-term gaps, using clear handovers and agreed priorities.</w:t>
      </w:r>
    </w:p>
    <w:p>
      <w:pPr>
        <w:pStyle w:val="ListBullet"/>
        <w:numPr>
          <w:ilvl w:val="0"/>
          <w:numId w:val="2"/>
        </w:numPr>
        <w:spacing w:lineRule="auto" w:line="244" w:before="0" w:after="60"/>
        <w:contextualSpacing/>
        <w:rPr/>
      </w:pPr>
      <w:r>
        <w:rPr>
          <w:color w:val="0D0D0D"/>
          <w:sz w:val="22"/>
        </w:rPr>
        <w:t>Recognise contraindications, precautions, deterioration and red flags, and escalate complex clinical decisions, safeguarding concerns and incidents through the agreed route.</w:t>
      </w:r>
    </w:p>
    <w:p>
      <w:pPr>
        <w:pStyle w:val="Heading1"/>
        <w:spacing w:before="240" w:after="100"/>
        <w:ind w:hanging="0" w:left="0"/>
        <w:rPr>
          <w:rFonts w:ascii="Aptos" w:hAnsi="Aptos" w:cs="Aptos"/>
          <w:color w:val="0D0D0D"/>
          <w:sz w:val="24"/>
          <w:szCs w:val="24"/>
        </w:rPr>
      </w:pPr>
      <w:r>
        <w:rPr>
          <w:rFonts w:cs="Aptos" w:ascii="Aptos" w:hAnsi="Aptos"/>
          <w:color w:val="0D0D0D"/>
          <w:sz w:val="24"/>
          <w:szCs w:val="24"/>
        </w:rPr>
        <w:t>Key responsibilities</w:t>
      </w:r>
    </w:p>
    <w:tbl>
      <w:tblPr>
        <w:tblW w:w="10599" w:type="dxa"/>
        <w:jc w:val="center"/>
        <w:tblInd w:w="0" w:type="dxa"/>
        <w:tblLayout w:type="fixed"/>
        <w:tblCellMar>
          <w:top w:w="85" w:type="dxa"/>
          <w:left w:w="110" w:type="dxa"/>
          <w:bottom w:w="85" w:type="dxa"/>
          <w:right w:w="110" w:type="dxa"/>
        </w:tblCellMar>
      </w:tblPr>
      <w:tblGrid>
        <w:gridCol w:w="2323"/>
        <w:gridCol w:w="8276"/>
      </w:tblGrid>
      <w:tr>
        <w:trPr>
          <w:tblHeader w:val="true"/>
          <w:cantSplit w:val="true"/>
        </w:trPr>
        <w:tc>
          <w:tcPr>
            <w:tcW w:w="2323" w:type="dxa"/>
            <w:tcBorders>
              <w:top w:val="single" w:sz="4" w:space="0" w:color="000000"/>
              <w:left w:val="single" w:sz="4" w:space="0" w:color="000000"/>
              <w:bottom w:val="single" w:sz="4" w:space="0" w:color="000000"/>
              <w:right w:val="single" w:sz="4" w:space="0" w:color="000000"/>
            </w:tcBorders>
            <w:shd w:fill="1F4E78" w:val="clear"/>
            <w:vAlign w:val="center"/>
          </w:tcPr>
          <w:p>
            <w:pPr>
              <w:pStyle w:val="Normal"/>
              <w:spacing w:lineRule="auto" w:line="240" w:before="0" w:after="0"/>
              <w:rPr>
                <w:b/>
                <w:color w:val="0D0D0D"/>
                <w:szCs w:val="20"/>
              </w:rPr>
            </w:pPr>
            <w:r>
              <w:rPr>
                <w:b/>
                <w:color w:val="0D0D0D"/>
                <w:szCs w:val="20"/>
              </w:rPr>
              <w:t>Area of responsibility</w:t>
            </w:r>
          </w:p>
        </w:tc>
        <w:tc>
          <w:tcPr>
            <w:tcW w:w="8276" w:type="dxa"/>
            <w:tcBorders>
              <w:top w:val="single" w:sz="4" w:space="0" w:color="000000"/>
              <w:left w:val="single" w:sz="4" w:space="0" w:color="000000"/>
              <w:bottom w:val="single" w:sz="4" w:space="0" w:color="000000"/>
              <w:right w:val="single" w:sz="4" w:space="0" w:color="000000"/>
            </w:tcBorders>
            <w:shd w:fill="1F4E78" w:val="clear"/>
            <w:vAlign w:val="center"/>
          </w:tcPr>
          <w:p>
            <w:pPr>
              <w:pStyle w:val="Normal"/>
              <w:spacing w:lineRule="auto" w:line="240" w:before="0" w:after="0"/>
              <w:rPr>
                <w:b/>
                <w:color w:val="0D0D0D"/>
                <w:szCs w:val="20"/>
              </w:rPr>
            </w:pPr>
            <w:r>
              <w:rPr>
                <w:b/>
                <w:color w:val="0D0D0D"/>
                <w:szCs w:val="20"/>
              </w:rPr>
              <w:t>Key responsibilities</w:t>
            </w:r>
          </w:p>
        </w:tc>
      </w:tr>
      <w:tr>
        <w:trPr>
          <w:cantSplit w:val="true"/>
        </w:trPr>
        <w:tc>
          <w:tcPr>
            <w:tcW w:w="2323"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Cs w:val="20"/>
              </w:rPr>
            </w:pPr>
            <w:r>
              <w:rPr>
                <w:b/>
                <w:color w:val="0D0D0D"/>
                <w:szCs w:val="20"/>
              </w:rPr>
              <w:t>Locality caseload and patient pathway management</w:t>
            </w:r>
          </w:p>
        </w:tc>
        <w:tc>
          <w:tcPr>
            <w:tcW w:w="8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color w:val="0D0D0D"/>
                <w:szCs w:val="20"/>
              </w:rPr>
              <w:t>•</w:t>
            </w:r>
            <w:r>
              <w:rPr>
                <w:rFonts w:eastAsia="Aptos" w:cs="Aptos"/>
                <w:color w:val="0D0D0D"/>
                <w:szCs w:val="20"/>
              </w:rPr>
              <w:t xml:space="preserve"> </w:t>
            </w:r>
            <w:r>
              <w:rPr>
                <w:color w:val="0D0D0D"/>
                <w:szCs w:val="20"/>
              </w:rPr>
              <w:t>Manage an agreed caseload of referrals from allocated Greater Manchester localities, ensuring patients are contacted, assessed, supported and followed up in line with agreed access standards.</w:t>
              <w:br/>
              <w:t>• Plan and coordinate each patient's pathway from assessment through prehabilitation or rehabilitation, review, discharge and transition to suitable local or community support.</w:t>
              <w:br/>
              <w:t>• Maintain clear, timely records of contact, consent, assessment, interventions, progress, outcomes, cancellations, non-attendance and onward referrals on ReferAll and associated systems.</w:t>
              <w:br/>
              <w:t>• Identify barriers to access, including travel, confidence, disability, language, culture, work or caring responsibilities, and work with patients and colleagues to provide reasonable, inclusive alternatives.</w:t>
            </w:r>
          </w:p>
        </w:tc>
      </w:tr>
      <w:tr>
        <w:trPr>
          <w:cantSplit w:val="true"/>
        </w:trPr>
        <w:tc>
          <w:tcPr>
            <w:tcW w:w="2323"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Cs w:val="20"/>
              </w:rPr>
            </w:pPr>
            <w:r>
              <w:rPr>
                <w:b/>
                <w:color w:val="0D0D0D"/>
                <w:szCs w:val="20"/>
              </w:rPr>
              <w:t>Direct exercise and rehabilitation delivery</w:t>
            </w:r>
          </w:p>
        </w:tc>
        <w:tc>
          <w:tcPr>
            <w:tcW w:w="8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color w:val="0D0D0D"/>
                <w:szCs w:val="20"/>
              </w:rPr>
              <w:t>•</w:t>
            </w:r>
            <w:r>
              <w:rPr>
                <w:rFonts w:eastAsia="Aptos" w:cs="Aptos"/>
                <w:color w:val="0D0D0D"/>
                <w:szCs w:val="20"/>
              </w:rPr>
              <w:t xml:space="preserve"> </w:t>
            </w:r>
            <w:r>
              <w:rPr>
                <w:color w:val="0D0D0D"/>
                <w:szCs w:val="20"/>
              </w:rPr>
              <w:t>Undertake exercise and functional assessment within agreed protocols and personal competence, using findings to create safe, individualised exercise and activity plans.</w:t>
              <w:br/>
              <w:t>• Deliver and review individual appointments, supervised gym sessions, group activity and remote or digital support where appropriate to patient need and the local pathway.</w:t>
              <w:br/>
              <w:t>• Support patients to understand the benefits of activity before, during and after treatment, using motivational and behaviour-change approaches to build confidence and sustained participation.</w:t>
              <w:br/>
              <w:t>• Monitor attendance, response and progress; adjust exercise plans within scope and support safe progression, re-engagement, discharge and onward transition.</w:t>
            </w:r>
          </w:p>
        </w:tc>
      </w:tr>
      <w:tr>
        <w:trPr>
          <w:cantSplit w:val="true"/>
        </w:trPr>
        <w:tc>
          <w:tcPr>
            <w:tcW w:w="2323"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Cs w:val="20"/>
              </w:rPr>
            </w:pPr>
            <w:r>
              <w:rPr>
                <w:b/>
                <w:color w:val="0D0D0D"/>
                <w:szCs w:val="20"/>
              </w:rPr>
              <w:t>Local instructor and locality delivery coordination</w:t>
            </w:r>
          </w:p>
        </w:tc>
        <w:tc>
          <w:tcPr>
            <w:tcW w:w="8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color w:val="0D0D0D"/>
                <w:szCs w:val="20"/>
              </w:rPr>
              <w:t>•</w:t>
            </w:r>
            <w:r>
              <w:rPr>
                <w:rFonts w:eastAsia="Aptos" w:cs="Aptos"/>
                <w:color w:val="0D0D0D"/>
                <w:szCs w:val="20"/>
              </w:rPr>
              <w:t xml:space="preserve"> </w:t>
            </w:r>
            <w:r>
              <w:rPr>
                <w:color w:val="0D0D0D"/>
                <w:szCs w:val="20"/>
              </w:rPr>
              <w:t>Work closely with local instructors, leisure managers and venue teams to coordinate day-to-day delivery for allocated patients, including appropriate sessions, equipment, access arrangements and practical support.</w:t>
              <w:br/>
              <w:t>• Communicate agreed patient plans, relevant precautions, progression requirements and escalation routes to local instructors, respecting confidentiality and each colleague's scope of practice.</w:t>
              <w:br/>
              <w:t>• Provide practical guidance and feedback to support consistent delivery, while recognising that local instructors remain accountable for work within their own training and competence.</w:t>
              <w:br/>
              <w:t>• Use local capacity, patient feedback and observed barriers to help the Deputy Lead and Service Lead improve timetabling, access, local delivery arrangements and onward pathways.</w:t>
            </w:r>
          </w:p>
        </w:tc>
      </w:tr>
      <w:tr>
        <w:trPr>
          <w:cantSplit w:val="true"/>
        </w:trPr>
        <w:tc>
          <w:tcPr>
            <w:tcW w:w="2323"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Cs w:val="20"/>
              </w:rPr>
            </w:pPr>
            <w:r>
              <w:rPr>
                <w:b/>
                <w:color w:val="0D0D0D"/>
                <w:szCs w:val="20"/>
              </w:rPr>
              <w:t>Flexible cover and service resilience</w:t>
            </w:r>
          </w:p>
        </w:tc>
        <w:tc>
          <w:tcPr>
            <w:tcW w:w="8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color w:val="0D0D0D"/>
                <w:szCs w:val="20"/>
              </w:rPr>
              <w:t>•</w:t>
            </w:r>
            <w:r>
              <w:rPr>
                <w:rFonts w:eastAsia="Aptos" w:cs="Aptos"/>
                <w:color w:val="0D0D0D"/>
                <w:szCs w:val="20"/>
              </w:rPr>
              <w:t xml:space="preserve"> </w:t>
            </w:r>
            <w:r>
              <w:rPr>
                <w:color w:val="0D0D0D"/>
                <w:szCs w:val="20"/>
              </w:rPr>
              <w:t>Provide flexible direct-delivery cover across localities during planned and unplanned absence, referral surges, venue disruption and other short-term operational pressures.</w:t>
              <w:br/>
              <w:t>• Complete and receive clear caseload handovers, prioritising patients with immediate needs and maintaining continuity of support, records and communication.</w:t>
              <w:br/>
              <w:t>• Work with the Deputy Lead and Service Lead to identify capacity or access risks promptly and agree safe, practical actions within the postholder's role.</w:t>
            </w:r>
          </w:p>
        </w:tc>
      </w:tr>
      <w:tr>
        <w:trPr>
          <w:cantSplit w:val="true"/>
        </w:trPr>
        <w:tc>
          <w:tcPr>
            <w:tcW w:w="2323"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Cs w:val="20"/>
              </w:rPr>
            </w:pPr>
            <w:r>
              <w:rPr>
                <w:b/>
                <w:color w:val="0D0D0D"/>
                <w:szCs w:val="20"/>
              </w:rPr>
              <w:t>Quality, safety and escalation</w:t>
            </w:r>
          </w:p>
        </w:tc>
        <w:tc>
          <w:tcPr>
            <w:tcW w:w="8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color w:val="0D0D0D"/>
                <w:szCs w:val="20"/>
              </w:rPr>
              <w:t>•</w:t>
            </w:r>
            <w:r>
              <w:rPr>
                <w:rFonts w:eastAsia="Aptos" w:cs="Aptos"/>
                <w:color w:val="0D0D0D"/>
                <w:szCs w:val="20"/>
              </w:rPr>
              <w:t xml:space="preserve"> </w:t>
            </w:r>
            <w:r>
              <w:rPr>
                <w:color w:val="0D0D0D"/>
                <w:szCs w:val="20"/>
              </w:rPr>
              <w:t>Deliver in accordance with agreed assessment, exercise prescription, safety, consent, infection prevention, information governance and record-keeping standards.</w:t>
              <w:br/>
              <w:t>• Recognise contraindications, precautions, changing symptoms, deterioration and red flags. Escalate complex, incomplete or higher-risk cases to the Exercise Physiologist, Clinical Lead, Service Lead or treating team as required.</w:t>
              <w:br/>
              <w:t>• Complete venue and equipment checks in line with risk assessments, report incidents, safeguarding concerns, complaints and near misses through agreed procedures, and contribute to learning and follow-up actions.</w:t>
              <w:br/>
              <w:t>• Do not make medical diagnosis or treatment decisions, or exercise-related clinical decisions beyond agreed competence and protocols.</w:t>
            </w:r>
          </w:p>
        </w:tc>
      </w:tr>
      <w:tr>
        <w:trPr>
          <w:cantSplit w:val="true"/>
        </w:trPr>
        <w:tc>
          <w:tcPr>
            <w:tcW w:w="2323"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Cs w:val="20"/>
              </w:rPr>
            </w:pPr>
            <w:r>
              <w:rPr>
                <w:b/>
                <w:color w:val="0D0D0D"/>
                <w:szCs w:val="20"/>
              </w:rPr>
              <w:t>Data, learning and improvement</w:t>
            </w:r>
          </w:p>
        </w:tc>
        <w:tc>
          <w:tcPr>
            <w:tcW w:w="8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color w:val="0D0D0D"/>
                <w:szCs w:val="20"/>
              </w:rPr>
              <w:t>•</w:t>
            </w:r>
            <w:r>
              <w:rPr>
                <w:rFonts w:eastAsia="Aptos" w:cs="Aptos"/>
                <w:color w:val="0D0D0D"/>
                <w:szCs w:val="20"/>
              </w:rPr>
              <w:t xml:space="preserve"> </w:t>
            </w:r>
            <w:r>
              <w:rPr>
                <w:color w:val="0D0D0D"/>
                <w:szCs w:val="20"/>
              </w:rPr>
              <w:t>Maintain accurate activity, outcome and patient-experience information, contributing to data quality, audit, evaluation and reporting requirements.</w:t>
              <w:br/>
              <w:t>• Participate in induction, peer learning, internal CPD, reflective practice and relevant education for local delivery teams, sharing practical learning from patient care.</w:t>
              <w:br/>
              <w:t>• Contribute ideas and feedback to service-improvement work that strengthens equity, patient experience, local access, workforce resilience or the safe use of digital support.</w:t>
            </w:r>
          </w:p>
        </w:tc>
      </w:tr>
    </w:tbl>
    <w:p>
      <w:pPr>
        <w:pStyle w:val="Heading1"/>
        <w:spacing w:before="240" w:after="100"/>
        <w:ind w:hanging="0" w:left="0"/>
        <w:rPr>
          <w:rFonts w:ascii="Aptos" w:hAnsi="Aptos" w:cs="Aptos"/>
          <w:color w:val="0D0D0D"/>
          <w:sz w:val="22"/>
          <w:szCs w:val="22"/>
        </w:rPr>
      </w:pPr>
      <w:r>
        <w:rPr>
          <w:rFonts w:cs="Aptos" w:ascii="Aptos" w:hAnsi="Aptos"/>
          <w:color w:val="0D0D0D"/>
          <w:sz w:val="22"/>
          <w:szCs w:val="22"/>
        </w:rPr>
        <w:t>Key working relationships</w:t>
      </w:r>
    </w:p>
    <w:p>
      <w:pPr>
        <w:pStyle w:val="ListBullet"/>
        <w:numPr>
          <w:ilvl w:val="0"/>
          <w:numId w:val="2"/>
        </w:numPr>
        <w:spacing w:lineRule="auto" w:line="244" w:before="0" w:after="60"/>
        <w:contextualSpacing/>
        <w:rPr/>
      </w:pPr>
      <w:r>
        <w:rPr>
          <w:color w:val="0D0D0D"/>
          <w:sz w:val="22"/>
        </w:rPr>
        <w:t>Prehab4Cancer Service Lead, Deputy Lead, Exercise Physiologist, Clinical Lead, Exercise Specialists, referral and administration staff, students and the wider delivery workforce.</w:t>
      </w:r>
    </w:p>
    <w:p>
      <w:pPr>
        <w:pStyle w:val="ListBullet"/>
        <w:numPr>
          <w:ilvl w:val="0"/>
          <w:numId w:val="2"/>
        </w:numPr>
        <w:spacing w:lineRule="auto" w:line="244" w:before="0" w:after="60"/>
        <w:contextualSpacing/>
        <w:rPr/>
      </w:pPr>
      <w:r>
        <w:rPr>
          <w:color w:val="0D0D0D"/>
          <w:sz w:val="22"/>
        </w:rPr>
        <w:t>GM Active partners, local instructors, leisure managers, venue teams and community physical-activity providers supporting assessment, exercise delivery and onward transition.</w:t>
      </w:r>
    </w:p>
    <w:p>
      <w:pPr>
        <w:pStyle w:val="ListBullet"/>
        <w:numPr>
          <w:ilvl w:val="0"/>
          <w:numId w:val="2"/>
        </w:numPr>
        <w:spacing w:lineRule="auto" w:line="244" w:before="0" w:after="60"/>
        <w:contextualSpacing/>
        <w:rPr/>
      </w:pPr>
      <w:r>
        <w:rPr>
          <w:color w:val="0D0D0D"/>
          <w:sz w:val="22"/>
        </w:rPr>
        <w:t>Patients, carers and families, with respectful communication and inclusive support tailored to individual needs, preferences and circumstances.</w:t>
      </w:r>
    </w:p>
    <w:p>
      <w:pPr>
        <w:pStyle w:val="ListBullet"/>
        <w:numPr>
          <w:ilvl w:val="0"/>
          <w:numId w:val="2"/>
        </w:numPr>
        <w:spacing w:lineRule="auto" w:line="244" w:before="0" w:after="60"/>
        <w:contextualSpacing/>
        <w:rPr/>
      </w:pPr>
      <w:r>
        <w:rPr>
          <w:color w:val="0D0D0D"/>
          <w:sz w:val="22"/>
        </w:rPr>
        <w:t>NHS cancer services, primary care, community rehabilitation and relevant voluntary-sector organisations, through agreed referral, information-sharing and escalation arrangements.</w:t>
      </w:r>
    </w:p>
    <w:p>
      <w:pPr>
        <w:pStyle w:val="ListBullet"/>
        <w:numPr>
          <w:ilvl w:val="0"/>
          <w:numId w:val="2"/>
        </w:numPr>
        <w:spacing w:lineRule="auto" w:line="244" w:before="0" w:after="60"/>
        <w:contextualSpacing/>
        <w:rPr/>
      </w:pPr>
      <w:r>
        <w:rPr>
          <w:color w:val="0D0D0D"/>
          <w:sz w:val="22"/>
        </w:rPr>
        <w:t>Salford Community Leisure operational, health and safety, information-governance and HR teams, where relevant to safe local delivery.</w:t>
      </w:r>
    </w:p>
    <w:p>
      <w:pPr>
        <w:pStyle w:val="Heading1"/>
        <w:spacing w:before="240" w:after="100"/>
        <w:ind w:hanging="0" w:left="0"/>
        <w:rPr>
          <w:rFonts w:ascii="Aptos" w:hAnsi="Aptos" w:cs="Aptos"/>
          <w:color w:val="0D0D0D"/>
          <w:sz w:val="22"/>
          <w:szCs w:val="22"/>
        </w:rPr>
      </w:pPr>
      <w:r>
        <w:rPr>
          <w:rFonts w:cs="Aptos" w:ascii="Aptos" w:hAnsi="Aptos"/>
          <w:color w:val="0D0D0D"/>
          <w:sz w:val="22"/>
          <w:szCs w:val="22"/>
        </w:rPr>
        <w:t>Decision making and professional responsibility</w:t>
      </w:r>
    </w:p>
    <w:p>
      <w:pPr>
        <w:pStyle w:val="Normal"/>
        <w:spacing w:lineRule="auto" w:line="256" w:before="0" w:after="120"/>
        <w:rPr>
          <w:color w:val="0D0D0D"/>
          <w:sz w:val="22"/>
        </w:rPr>
      </w:pPr>
      <w:r>
        <w:rPr>
          <w:color w:val="0D0D0D"/>
          <w:sz w:val="22"/>
        </w:rPr>
        <w:t>The postholder will make day-to-day decisions within agreed protocols and their own training and competence. This includes organising an allocated locality caseload, arranging and delivering exercise support, progressing established plans, coordinating with local instructors and providing appropriate direct-delivery cover.</w:t>
      </w:r>
    </w:p>
    <w:p>
      <w:pPr>
        <w:pStyle w:val="Normal"/>
        <w:spacing w:lineRule="auto" w:line="256" w:before="0" w:after="120"/>
        <w:rPr>
          <w:color w:val="0D0D0D"/>
          <w:sz w:val="22"/>
        </w:rPr>
      </w:pPr>
      <w:r>
        <w:rPr>
          <w:color w:val="0D0D0D"/>
          <w:sz w:val="22"/>
        </w:rPr>
        <w:t>The postholder must seek advice or escalate medical diagnosis or treatment decisions, complex clinical triage or risk decisions, deterioration or red flags, safeguarding concerns, significant incidents, capacity risks that cannot be safely managed locally, and any matter outside agreed competence or authority. The Service Lead retains overall accountability for operational delivery, workforce deployment, capacity and performance.</w:t>
      </w:r>
      <w:r>
        <w:br w:type="page"/>
      </w:r>
    </w:p>
    <w:p>
      <w:pPr>
        <w:pStyle w:val="Heading1"/>
        <w:spacing w:before="240" w:after="100"/>
        <w:ind w:hanging="0" w:left="0"/>
        <w:rPr>
          <w:rFonts w:ascii="Aptos" w:hAnsi="Aptos" w:cs="Aptos"/>
          <w:color w:val="0D0D0D"/>
          <w:sz w:val="22"/>
          <w:szCs w:val="22"/>
        </w:rPr>
      </w:pPr>
      <w:r>
        <w:rPr>
          <w:rFonts w:cs="Aptos" w:ascii="Aptos" w:hAnsi="Aptos"/>
          <w:color w:val="0D0D0D"/>
          <w:sz w:val="22"/>
          <w:szCs w:val="22"/>
        </w:rPr>
        <w:t>Person specification</w:t>
      </w:r>
    </w:p>
    <w:tbl>
      <w:tblPr>
        <w:tblW w:w="9989" w:type="dxa"/>
        <w:jc w:val="center"/>
        <w:tblInd w:w="0" w:type="dxa"/>
        <w:tblLayout w:type="fixed"/>
        <w:tblCellMar>
          <w:top w:w="85" w:type="dxa"/>
          <w:left w:w="110" w:type="dxa"/>
          <w:bottom w:w="85" w:type="dxa"/>
          <w:right w:w="110" w:type="dxa"/>
        </w:tblCellMar>
      </w:tblPr>
      <w:tblGrid>
        <w:gridCol w:w="1964"/>
        <w:gridCol w:w="5104"/>
        <w:gridCol w:w="2921"/>
      </w:tblGrid>
      <w:tr>
        <w:trPr>
          <w:tblHeader w:val="true"/>
          <w:cantSplit w:val="true"/>
        </w:trPr>
        <w:tc>
          <w:tcPr>
            <w:tcW w:w="1964" w:type="dxa"/>
            <w:tcBorders>
              <w:top w:val="single" w:sz="4" w:space="0" w:color="000000"/>
              <w:left w:val="single" w:sz="4" w:space="0" w:color="000000"/>
              <w:bottom w:val="single" w:sz="4" w:space="0" w:color="000000"/>
              <w:right w:val="single" w:sz="4" w:space="0" w:color="000000"/>
            </w:tcBorders>
            <w:shd w:fill="1F4E78" w:val="clear"/>
          </w:tcPr>
          <w:p>
            <w:pPr>
              <w:pStyle w:val="Normal"/>
              <w:spacing w:lineRule="auto" w:line="240" w:before="0" w:after="0"/>
              <w:rPr>
                <w:b/>
                <w:color w:val="0D0D0D"/>
                <w:sz w:val="22"/>
              </w:rPr>
            </w:pPr>
            <w:r>
              <w:rPr>
                <w:b/>
                <w:color w:val="0D0D0D"/>
                <w:sz w:val="22"/>
              </w:rPr>
              <w:t>Category</w:t>
            </w:r>
          </w:p>
        </w:tc>
        <w:tc>
          <w:tcPr>
            <w:tcW w:w="5104" w:type="dxa"/>
            <w:tcBorders>
              <w:top w:val="single" w:sz="4" w:space="0" w:color="000000"/>
              <w:left w:val="single" w:sz="4" w:space="0" w:color="000000"/>
              <w:bottom w:val="single" w:sz="4" w:space="0" w:color="000000"/>
              <w:right w:val="single" w:sz="4" w:space="0" w:color="000000"/>
            </w:tcBorders>
            <w:shd w:fill="1F4E78" w:val="clear"/>
          </w:tcPr>
          <w:p>
            <w:pPr>
              <w:pStyle w:val="Normal"/>
              <w:spacing w:lineRule="auto" w:line="240" w:before="0" w:after="0"/>
              <w:rPr>
                <w:b/>
                <w:color w:val="0D0D0D"/>
                <w:sz w:val="22"/>
              </w:rPr>
            </w:pPr>
            <w:r>
              <w:rPr>
                <w:b/>
                <w:color w:val="0D0D0D"/>
                <w:sz w:val="22"/>
              </w:rPr>
              <w:t>Essential</w:t>
            </w:r>
          </w:p>
        </w:tc>
        <w:tc>
          <w:tcPr>
            <w:tcW w:w="2921" w:type="dxa"/>
            <w:tcBorders>
              <w:top w:val="single" w:sz="4" w:space="0" w:color="000000"/>
              <w:left w:val="single" w:sz="4" w:space="0" w:color="000000"/>
              <w:bottom w:val="single" w:sz="4" w:space="0" w:color="000000"/>
              <w:right w:val="single" w:sz="4" w:space="0" w:color="000000"/>
            </w:tcBorders>
            <w:shd w:fill="1F4E78" w:val="clear"/>
          </w:tcPr>
          <w:p>
            <w:pPr>
              <w:pStyle w:val="Normal"/>
              <w:spacing w:lineRule="auto" w:line="240" w:before="0" w:after="0"/>
              <w:rPr>
                <w:b/>
                <w:color w:val="0D0D0D"/>
                <w:sz w:val="22"/>
              </w:rPr>
            </w:pPr>
            <w:r>
              <w:rPr>
                <w:b/>
                <w:color w:val="0D0D0D"/>
                <w:sz w:val="22"/>
              </w:rPr>
              <w:t>Desirable</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Qualifications and professional development</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Recognised Level 4 Exercise and Training in Cancer Rehabilitation qualification, or equivalent recognised cancer-rehabilitation qualification. Relevant exercise-referral qualifications such as BACPR, and evidence of continuing professional development in cancer, exercise and long-term conditions or AHCS accredited clinical exercise physiologist, or working towards</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 xml:space="preserve">Degree-level qualification in exercise, health, rehabilitation or a related discipline; CIMSPA membership or relevant professional registration. </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Cancer exercise and patient delivery</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delivering safe exercise assessment, intervention, progression and monitoring for people affected by cancer and/or long-term conditions. Able to deliver both individual and group-based support and adapt delivery to patient need.</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across perioperative, oncology, respiratory or non-surgical cancer pathways; experience of digital or remote rehabilitation support.</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Caseload and locality management</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managing a patient caseload, prioritising workload, maintaining timely follow-up and coordinating appointments, sessions, venues and onward transitions. Able to work autonomously while contributing reliably to a wider team.</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of multi-site, locality-based or community leisure delivery across a large geographical area.</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Exercise assessment, prescription and behaviour change</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Able to undertake exercise assessment within agreed protocols, develop and progress individualised exercise plans, monitor response and use motivational approaches to support engagement. Able to identify precautions, contraindications, deterioration and red flags.</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using standardised functional tests, patient-reported outcomes or structured behaviour-change approaches in cancer rehabilitation.</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Local instructor coordination and communication</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Strong written and verbal communication skills. Able to work constructively with patients, local instructors, leisure teams and healthcare colleagues; communicate clear plans, boundaries and escalation routes; and maintain confidentiality.</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supporting local instructors, volunteers or peer workers to deliver agreed exercise plans safely and consistently.</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Governance, quality and safety</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Working knowledge of safeguarding, health and safety, information governance, consent, record keeping, incident reporting and equality, diversity and inclusion. Able to follow protocols and escalate issues appropriately.</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of audit, patient-safety review, equipment safety processes or quality-improvement activity.</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Data and service improvement</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Confident use of digital systems to maintain accurate patient records and activity data. Able to contribute to outcome collection, data quality, audit, feedback and practical service improvement.</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with ReferAll or an equivalent referral-management system, service evaluation or reporting.</w:t>
            </w:r>
          </w:p>
        </w:tc>
      </w:tr>
      <w:tr>
        <w:trPr>
          <w:cantSplit w:val="true"/>
        </w:trPr>
        <w:tc>
          <w:tcPr>
            <w:tcW w:w="1964" w:type="dxa"/>
            <w:tcBorders>
              <w:top w:val="single" w:sz="4" w:space="0" w:color="000000"/>
              <w:left w:val="single" w:sz="4" w:space="0" w:color="000000"/>
              <w:bottom w:val="single" w:sz="4" w:space="0" w:color="000000"/>
              <w:right w:val="single" w:sz="4" w:space="0" w:color="000000"/>
            </w:tcBorders>
            <w:shd w:fill="D9EAF7" w:val="clear"/>
          </w:tcPr>
          <w:p>
            <w:pPr>
              <w:pStyle w:val="Normal"/>
              <w:spacing w:lineRule="auto" w:line="240" w:before="0" w:after="0"/>
              <w:rPr>
                <w:b/>
                <w:color w:val="0D0D0D"/>
                <w:sz w:val="22"/>
              </w:rPr>
            </w:pPr>
            <w:r>
              <w:rPr>
                <w:b/>
                <w:color w:val="0D0D0D"/>
                <w:sz w:val="22"/>
              </w:rPr>
              <w:t>Personal qualities</w:t>
            </w:r>
          </w:p>
        </w:tc>
        <w:tc>
          <w:tcPr>
            <w:tcW w:w="51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Compassionate, dependable and organised practitioner who is responsive to patient need, comfortable with flexible working and committed to equity, teamwork, learning and continuous improvement.</w:t>
            </w:r>
          </w:p>
        </w:tc>
        <w:tc>
          <w:tcPr>
            <w:tcW w:w="29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D0D0D"/>
                <w:sz w:val="22"/>
              </w:rPr>
            </w:pPr>
            <w:r>
              <w:rPr>
                <w:color w:val="0D0D0D"/>
                <w:sz w:val="22"/>
              </w:rPr>
              <w:t>Experience supporting peer learning, internal CPD or placement activity.</w:t>
            </w:r>
          </w:p>
        </w:tc>
      </w:tr>
    </w:tbl>
    <w:p>
      <w:pPr>
        <w:pStyle w:val="Heading1"/>
        <w:spacing w:before="240" w:after="100"/>
        <w:ind w:hanging="0" w:left="0"/>
        <w:rPr>
          <w:rFonts w:ascii="Aptos" w:hAnsi="Aptos" w:cs="Aptos"/>
          <w:color w:val="0D0D0D"/>
          <w:sz w:val="22"/>
          <w:szCs w:val="22"/>
        </w:rPr>
      </w:pPr>
      <w:r>
        <w:rPr>
          <w:rFonts w:cs="Aptos" w:ascii="Aptos" w:hAnsi="Aptos"/>
          <w:color w:val="0D0D0D"/>
          <w:sz w:val="22"/>
          <w:szCs w:val="22"/>
        </w:rPr>
        <w:t>Additional requirements</w:t>
      </w:r>
    </w:p>
    <w:p>
      <w:pPr>
        <w:pStyle w:val="ListBullet"/>
        <w:numPr>
          <w:ilvl w:val="0"/>
          <w:numId w:val="2"/>
        </w:numPr>
        <w:spacing w:lineRule="auto" w:line="244" w:before="0" w:after="60"/>
        <w:contextualSpacing/>
        <w:rPr/>
      </w:pPr>
      <w:r>
        <w:rPr>
          <w:color w:val="0D0D0D"/>
          <w:sz w:val="22"/>
        </w:rPr>
        <w:t>Maintain an up-to-date CPD portfolio and participate in supervision, appraisal, mandatory training and internal learning.</w:t>
      </w:r>
    </w:p>
    <w:p>
      <w:pPr>
        <w:pStyle w:val="ListBullet"/>
        <w:numPr>
          <w:ilvl w:val="0"/>
          <w:numId w:val="2"/>
        </w:numPr>
        <w:spacing w:lineRule="auto" w:line="244" w:before="0" w:after="60"/>
        <w:contextualSpacing/>
        <w:rPr/>
      </w:pPr>
      <w:r>
        <w:rPr>
          <w:color w:val="0D0D0D"/>
          <w:sz w:val="22"/>
        </w:rPr>
        <w:t>Comply with host policies on equality, diversity and inclusion, safeguarding, health and safety, confidentiality, data protection and professional conduct.</w:t>
      </w:r>
    </w:p>
    <w:p>
      <w:pPr>
        <w:pStyle w:val="ListBullet"/>
        <w:numPr>
          <w:ilvl w:val="0"/>
          <w:numId w:val="2"/>
        </w:numPr>
        <w:spacing w:lineRule="auto" w:line="244" w:before="0" w:after="60"/>
        <w:contextualSpacing/>
        <w:rPr/>
      </w:pPr>
      <w:r>
        <w:rPr>
          <w:color w:val="0D0D0D"/>
          <w:sz w:val="22"/>
        </w:rPr>
        <w:t>Be able to travel across Greater Manchester and provide flexible cover across localities, with reasonable adjustments where required.</w:t>
      </w:r>
    </w:p>
    <w:p>
      <w:pPr>
        <w:pStyle w:val="ListBullet"/>
        <w:numPr>
          <w:ilvl w:val="0"/>
          <w:numId w:val="2"/>
        </w:numPr>
        <w:spacing w:lineRule="auto" w:line="244" w:before="0" w:after="60"/>
        <w:contextualSpacing/>
        <w:rPr/>
      </w:pPr>
      <w:r>
        <w:rPr>
          <w:color w:val="0D0D0D"/>
          <w:sz w:val="22"/>
        </w:rPr>
        <w:t>Satisfactory pre-employment checks, including any DBS requirement, will be confirmed by the host organisation.</w:t>
      </w:r>
    </w:p>
    <w:p>
      <w:pPr>
        <w:pStyle w:val="Heading1"/>
        <w:spacing w:before="240" w:after="100"/>
        <w:ind w:hanging="0" w:left="0"/>
        <w:rPr>
          <w:rFonts w:ascii="Aptos" w:hAnsi="Aptos" w:cs="Aptos"/>
          <w:color w:val="0D0D0D"/>
          <w:sz w:val="22"/>
          <w:szCs w:val="22"/>
        </w:rPr>
      </w:pPr>
      <w:r>
        <w:rPr>
          <w:rFonts w:cs="Aptos" w:ascii="Aptos" w:hAnsi="Aptos"/>
          <w:color w:val="0D0D0D"/>
          <w:sz w:val="22"/>
          <w:szCs w:val="22"/>
        </w:rPr>
        <w:t>Review and approval arrangements</w:t>
      </w:r>
    </w:p>
    <w:p>
      <w:pPr>
        <w:pStyle w:val="Normal"/>
        <w:spacing w:lineRule="auto" w:line="256" w:before="0" w:after="120"/>
        <w:rPr>
          <w:color w:val="0D0D0D"/>
          <w:sz w:val="22"/>
        </w:rPr>
      </w:pPr>
      <w:r>
        <w:rPr>
          <w:color w:val="0D0D0D"/>
          <w:sz w:val="22"/>
        </w:rPr>
        <w:t>This job description should be reviewed annually with the postholder and whenever the commissioned scope, locality allocation, workforce establishment, clinical accountability or operating model changes materially. Final reporting arrangements, salary, grade, hours, locality allocation and professional-development requirements require agreement through Salford Community Leisure, the Prehab4Cancer Steering Group and relevant governance processes.</w:t>
      </w:r>
    </w:p>
    <w:sectPr>
      <w:headerReference w:type="default" r:id="rId2"/>
      <w:headerReference w:type="first" r:id="rId3"/>
      <w:footerReference w:type="default" r:id="rId4"/>
      <w:footerReference w:type="first" r:id="rId5"/>
      <w:type w:val="nextPage"/>
      <w:pgSz w:w="12240" w:h="15840"/>
      <w:pgMar w:left="720" w:right="720" w:gutter="0" w:header="432" w:top="1008" w:footer="432" w:bottom="93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40" w:after="0"/>
      <w:jc w:val="center"/>
      <w:rPr>
        <w:color w:val="6B7280"/>
        <w:sz w:val="16"/>
      </w:rPr>
    </w:pPr>
    <w:r>
      <w:rPr>
        <w:color w:val="6B7280"/>
        <w:sz w:val="16"/>
      </w:rPr>
      <w:t>Draft for consultation  |  September 2026</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Footer"/>
      <w:spacing w:before="40" w:after="0"/>
      <w:jc w:val="center"/>
      <w:rPr>
        <w:color w:val="6B7280"/>
        <w:sz w:val="16"/>
      </w:rPr>
    </w:pPr>
    <w:r>
      <w:rPr>
        <w:color w:val="6B7280"/>
        <w:sz w:val="16"/>
      </w:rPr>
      <w:t>Draft for consultation  |  September 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center"/>
      <w:rPr/>
    </w:pPr>
    <w:r>
      <w:rPr/>
      <w:drawing>
        <wp:anchor behindDoc="0" distT="0" distB="0" distL="114300" distR="114300" simplePos="0" locked="0" layoutInCell="0" allowOverlap="1" relativeHeight="2">
          <wp:simplePos x="0" y="0"/>
          <wp:positionH relativeFrom="margin">
            <wp:align>center</wp:align>
          </wp:positionH>
          <wp:positionV relativeFrom="paragraph">
            <wp:posOffset>-188595</wp:posOffset>
          </wp:positionV>
          <wp:extent cx="989965" cy="989965"/>
          <wp:effectExtent l="0" t="0" r="0" b="0"/>
          <wp:wrapTight wrapText="bothSides">
            <wp:wrapPolygon edited="0">
              <wp:start x="-9" y="0"/>
              <wp:lineTo x="-9" y="21178"/>
              <wp:lineTo x="21180" y="21178"/>
              <wp:lineTo x="21180" y="0"/>
              <wp:lineTo x="-9"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 t="-2" r="-2" b="-2"/>
                  <a:stretch>
                    <a:fillRect/>
                  </a:stretch>
                </pic:blipFill>
                <pic:spPr bwMode="auto">
                  <a:xfrm>
                    <a:off x="0" y="0"/>
                    <a:ext cx="989965" cy="98996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88"/>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Aptos" w:hAnsi="Aptos" w:eastAsia="ＭＳ 明朝" w:cs="Arial"/>
      <w:color w:val="auto"/>
      <w:kern w:val="0"/>
      <w:sz w:val="20"/>
      <w:szCs w:val="22"/>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libri" w:hAnsi="Calibri" w:eastAsia="ＭＳ ゴシック" w:cs="Times New Roman"/>
      <w:b/>
      <w:bCs/>
      <w:color w:val="365F91"/>
      <w:sz w:val="30"/>
      <w:szCs w:val="28"/>
    </w:rPr>
  </w:style>
  <w:style w:type="paragraph" w:styleId="Heading2">
    <w:name w:val="Heading 2"/>
    <w:basedOn w:val="Normal"/>
    <w:next w:val="Normal"/>
    <w:qFormat/>
    <w:pPr>
      <w:keepNext w:val="true"/>
      <w:keepLines/>
      <w:numPr>
        <w:ilvl w:val="1"/>
        <w:numId w:val="1"/>
      </w:numPr>
      <w:spacing w:before="200" w:after="0"/>
      <w:outlineLvl w:val="1"/>
    </w:pPr>
    <w:rPr>
      <w:rFonts w:ascii="Calibri" w:hAnsi="Calibri" w:eastAsia="ＭＳ ゴシック" w:cs="Times New Roman"/>
      <w:b/>
      <w:bCs/>
      <w:color w:val="4F81BD"/>
      <w:sz w:val="23"/>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Times New Roman"/>
      <w:b/>
      <w:bCs/>
      <w:color w:val="4F81BD"/>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Times New Roman"/>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Times New Roman"/>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Times New Roman"/>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Times New Roman"/>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Times New Roman"/>
      <w:color w:val="4F81BD"/>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Times New Roman"/>
      <w:i/>
      <w:iCs/>
      <w:color w:val="404040"/>
      <w:szCs w:val="20"/>
    </w:rPr>
  </w:style>
  <w:style w:type="character" w:styleId="WW8Num1z0">
    <w:name w:val="WW8Num1z0"/>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Times New Roman"/>
      <w:b/>
      <w:bCs/>
      <w:color w:val="365F91"/>
      <w:sz w:val="28"/>
      <w:szCs w:val="28"/>
    </w:rPr>
  </w:style>
  <w:style w:type="character" w:styleId="Heading2Char">
    <w:name w:val="Heading 2 Char"/>
    <w:basedOn w:val="DefaultParagraphFont"/>
    <w:qFormat/>
    <w:rPr>
      <w:rFonts w:ascii="Calibri" w:hAnsi="Calibri" w:eastAsia="ＭＳ ゴシック" w:cs="Times New Roman"/>
      <w:b/>
      <w:bCs/>
      <w:color w:val="4F81BD"/>
      <w:sz w:val="26"/>
      <w:szCs w:val="26"/>
    </w:rPr>
  </w:style>
  <w:style w:type="character" w:styleId="Heading3Char">
    <w:name w:val="Heading 3 Char"/>
    <w:basedOn w:val="DefaultParagraphFont"/>
    <w:qFormat/>
    <w:rPr>
      <w:rFonts w:ascii="Calibri" w:hAnsi="Calibri" w:eastAsia="ＭＳ ゴシック" w:cs="Times New Roman"/>
      <w:b/>
      <w:bCs/>
      <w:color w:val="4F81BD"/>
    </w:rPr>
  </w:style>
  <w:style w:type="character" w:styleId="TitleChar">
    <w:name w:val="Title Char"/>
    <w:basedOn w:val="DefaultParagraphFont"/>
    <w:qFormat/>
    <w:rPr>
      <w:rFonts w:ascii="Calibri" w:hAnsi="Calibri" w:eastAsia="ＭＳ ゴシック" w:cs="Times New Roman"/>
      <w:color w:val="17365D"/>
      <w:spacing w:val="5"/>
      <w:kern w:val="2"/>
      <w:sz w:val="52"/>
      <w:szCs w:val="52"/>
    </w:rPr>
  </w:style>
  <w:style w:type="character" w:styleId="SubtitleChar">
    <w:name w:val="Subtitle Char"/>
    <w:basedOn w:val="DefaultParagraphFont"/>
    <w:qFormat/>
    <w:rPr>
      <w:rFonts w:ascii="Calibri" w:hAnsi="Calibri" w:eastAsia="ＭＳ ゴシック" w:cs="Times New Roman"/>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Times New Roman"/>
      <w:b/>
      <w:bCs/>
      <w:i/>
      <w:iCs/>
      <w:color w:val="4F81BD"/>
    </w:rPr>
  </w:style>
  <w:style w:type="character" w:styleId="Heading5Char">
    <w:name w:val="Heading 5 Char"/>
    <w:basedOn w:val="DefaultParagraphFont"/>
    <w:qFormat/>
    <w:rPr>
      <w:rFonts w:ascii="Calibri" w:hAnsi="Calibri" w:eastAsia="ＭＳ ゴシック" w:cs="Times New Roman"/>
      <w:color w:val="243F60"/>
    </w:rPr>
  </w:style>
  <w:style w:type="character" w:styleId="Heading6Char">
    <w:name w:val="Heading 6 Char"/>
    <w:basedOn w:val="DefaultParagraphFont"/>
    <w:qFormat/>
    <w:rPr>
      <w:rFonts w:ascii="Calibri" w:hAnsi="Calibri" w:eastAsia="ＭＳ ゴシック" w:cs="Times New Roman"/>
      <w:i/>
      <w:iCs/>
      <w:color w:val="243F60"/>
    </w:rPr>
  </w:style>
  <w:style w:type="character" w:styleId="Heading7Char">
    <w:name w:val="Heading 7 Char"/>
    <w:basedOn w:val="DefaultParagraphFont"/>
    <w:qFormat/>
    <w:rPr>
      <w:rFonts w:ascii="Calibri" w:hAnsi="Calibri" w:eastAsia="ＭＳ ゴシック" w:cs="Times New Roman"/>
      <w:i/>
      <w:iCs/>
      <w:color w:val="404040"/>
    </w:rPr>
  </w:style>
  <w:style w:type="character" w:styleId="Heading8Char">
    <w:name w:val="Heading 8 Char"/>
    <w:basedOn w:val="DefaultParagraphFont"/>
    <w:qFormat/>
    <w:rPr>
      <w:rFonts w:ascii="Calibri" w:hAnsi="Calibri" w:eastAsia="ＭＳ ゴシック" w:cs="Times New Roman"/>
      <w:color w:val="4F81BD"/>
      <w:sz w:val="20"/>
      <w:szCs w:val="20"/>
    </w:rPr>
  </w:style>
  <w:style w:type="character" w:styleId="Heading9Char">
    <w:name w:val="Heading 9 Char"/>
    <w:basedOn w:val="DefaultParagraphFont"/>
    <w:qFormat/>
    <w:rPr>
      <w:rFonts w:ascii="Calibri" w:hAnsi="Calibri" w:eastAsia="ＭＳ ゴシック" w:cs="Times New Roman"/>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character" w:styleId="Hyperlink">
    <w:name w:val="Hyper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Normal"/>
    <w:pPr>
      <w:spacing w:before="0" w:after="200"/>
      <w:ind w:hanging="360" w:left="360" w:right="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mbria" w:hAnsi="Cambria" w:eastAsia="ＭＳ 明朝" w:cs="Arial"/>
      <w:color w:val="auto"/>
      <w:kern w:val="0"/>
      <w:sz w:val="20"/>
      <w:szCs w:val="22"/>
      <w:lang w:val="en-US" w:eastAsia="en-US" w:bidi="ar-SA"/>
    </w:rPr>
  </w:style>
  <w:style w:type="paragraph" w:styleId="Title">
    <w:name w:val="Title"/>
    <w:basedOn w:val="Normal"/>
    <w:next w:val="Normal"/>
    <w:qFormat/>
    <w:pPr>
      <w:pBdr>
        <w:bottom w:val="single" w:sz="8" w:space="4" w:color="4F81BD"/>
      </w:pBdr>
      <w:spacing w:lineRule="auto" w:line="240" w:before="0" w:after="300"/>
      <w:contextualSpacing/>
    </w:pPr>
    <w:rPr>
      <w:rFonts w:ascii="Calibri" w:hAnsi="Calibri" w:eastAsia="ＭＳ ゴシック" w:cs="Times New Roman"/>
      <w:color w:val="17365D"/>
      <w:spacing w:val="5"/>
      <w:kern w:val="2"/>
      <w:sz w:val="52"/>
      <w:szCs w:val="52"/>
    </w:rPr>
  </w:style>
  <w:style w:type="paragraph" w:styleId="Subtitle">
    <w:name w:val="Subtitle"/>
    <w:basedOn w:val="Normal"/>
    <w:next w:val="Normal"/>
    <w:qFormat/>
    <w:pPr/>
    <w:rPr>
      <w:rFonts w:ascii="Calibri" w:hAnsi="Calibri" w:eastAsia="ＭＳ ゴシック" w:cs="Times New Roman"/>
      <w:i/>
      <w:iCs/>
      <w:color w:val="4F81BD"/>
      <w:spacing w:val="15"/>
      <w:sz w:val="24"/>
      <w:szCs w:val="24"/>
    </w:rPr>
  </w:style>
  <w:style w:type="paragraph" w:styleId="ListParagraph">
    <w:name w:val="List Paragraph"/>
    <w:basedOn w:val="Normal"/>
    <w:qFormat/>
    <w:pPr>
      <w:spacing w:before="0" w:after="200"/>
      <w:ind w:hanging="0" w:left="720" w:right="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Bullet2">
    <w:name w:val="List Bullet 2"/>
    <w:basedOn w:val="Normal"/>
    <w:pPr>
      <w:spacing w:before="0" w:after="200"/>
      <w:ind w:hanging="360" w:left="720" w:right="0"/>
      <w:contextualSpacing/>
    </w:pPr>
    <w:rPr/>
  </w:style>
  <w:style w:type="paragraph" w:styleId="ListBullet3">
    <w:name w:val="List Bullet 3"/>
    <w:basedOn w:val="Normal"/>
    <w:pPr>
      <w:spacing w:before="0" w:after="200"/>
      <w:ind w:hanging="360" w:left="1080" w:right="0"/>
      <w:contextualSpacing/>
    </w:pPr>
    <w:rPr/>
  </w:style>
  <w:style w:type="paragraph" w:styleId="ListBullet">
    <w:name w:val="List Bullet"/>
    <w:basedOn w:val="Normal"/>
    <w:qFormat/>
    <w:pPr>
      <w:spacing w:before="0" w:after="200"/>
      <w:contextualSpacing/>
    </w:pPr>
    <w:rPr/>
  </w:style>
  <w:style w:type="paragraph" w:styleId="ListBullet21">
    <w:name w:val="List Bullet 21"/>
    <w:basedOn w:val="Normal"/>
    <w:qFormat/>
    <w:pPr>
      <w:spacing w:before="0" w:after="200"/>
      <w:contextualSpacing/>
    </w:pPr>
    <w:rPr/>
  </w:style>
  <w:style w:type="paragraph" w:styleId="ListBullet31">
    <w:name w:val="List Bullet 31"/>
    <w:basedOn w:val="Normal"/>
    <w:qFormat/>
    <w:pPr>
      <w:spacing w:before="0" w:after="200"/>
      <w:contextualSpacing/>
    </w:pPr>
    <w:rPr/>
  </w:style>
  <w:style w:type="paragraph" w:styleId="ListNumber">
    <w:name w:val="List Number"/>
    <w:basedOn w:val="Normal"/>
    <w:qFormat/>
    <w:pPr>
      <w:spacing w:before="0" w:after="200"/>
      <w:contextualSpacing/>
    </w:pPr>
    <w:rPr/>
  </w:style>
  <w:style w:type="paragraph" w:styleId="ListNumber2">
    <w:name w:val="List Number 2"/>
    <w:basedOn w:val="Normal"/>
    <w:qFormat/>
    <w:pPr>
      <w:spacing w:before="0" w:after="200"/>
      <w:contextualSpacing/>
    </w:pPr>
    <w:rPr/>
  </w:style>
  <w:style w:type="paragraph" w:styleId="ListNumber3">
    <w:name w:val="List Number 3"/>
    <w:basedOn w:val="Normal"/>
    <w:qFormat/>
    <w:pPr>
      <w:spacing w:before="0" w:after="200"/>
      <w:contextualSpacing/>
    </w:pPr>
    <w:rPr/>
  </w:style>
  <w:style w:type="paragraph" w:styleId="ListContinue">
    <w:name w:val="List Continue"/>
    <w:basedOn w:val="Normal"/>
    <w:qFormat/>
    <w:pPr>
      <w:spacing w:before="0" w:after="120"/>
      <w:ind w:hanging="0" w:left="360" w:right="0"/>
      <w:contextualSpacing/>
    </w:pPr>
    <w:rPr/>
  </w:style>
  <w:style w:type="paragraph" w:styleId="ListContinue2">
    <w:name w:val="List Continue 2"/>
    <w:basedOn w:val="Normal"/>
    <w:qFormat/>
    <w:pPr>
      <w:spacing w:before="0" w:after="120"/>
      <w:ind w:hanging="0" w:left="720" w:right="0"/>
      <w:contextualSpacing/>
    </w:pPr>
    <w:rPr/>
  </w:style>
  <w:style w:type="paragraph" w:styleId="ListContinue3">
    <w:name w:val="List Continue 3"/>
    <w:basedOn w:val="Normal"/>
    <w:qFormat/>
    <w:pPr>
      <w:spacing w:before="0" w:after="120"/>
      <w:ind w:hanging="0" w:left="1080" w:right="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Arial"/>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1"/>
    <w:basedOn w:val="Normal"/>
    <w:next w:val="Normal"/>
    <w:qFormat/>
    <w:pPr>
      <w:spacing w:lineRule="auto" w:line="240"/>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hanging="0" w:left="936" w:right="936"/>
    </w:pPr>
    <w:rPr>
      <w:b/>
      <w:bCs/>
      <w:i/>
      <w:iCs/>
      <w:color w:val="4F81BD"/>
    </w:rPr>
  </w:style>
  <w:style w:type="paragraph" w:styleId="TOCHeading">
    <w:name w:val="TOC Heading"/>
    <w:basedOn w:val="Heading1"/>
    <w:next w:val="Normal"/>
    <w:qFormat/>
    <w:pPr>
      <w:numPr>
        <w:ilvl w:val="0"/>
        <w:numId w:val="0"/>
      </w:numPr>
      <w:outlineLvl w:val="9"/>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en-GB"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