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ind w:left="-720" w:right="0"/>
        <w:rPr>
          <w:rFonts w:eastAsia="Calibri" w:cs="Calibri"/>
          <w:b w:val="false"/>
          <w:bCs w:val="false"/>
          <w:i w:val="false"/>
          <w:i w:val="false"/>
          <w:iCs w:val="false"/>
          <w:caps w:val="false"/>
          <w:smallCaps w:val="false"/>
          <w:color w:val="000000"/>
          <w:sz w:val="72"/>
          <w:szCs w:val="72"/>
          <w:lang w:val="en-GB"/>
        </w:rPr>
      </w:pPr>
      <w:r>
        <w:drawing>
          <wp:anchor behindDoc="0" distT="0" distB="0" distL="0" distR="0" simplePos="0" locked="0" layoutInCell="1" allowOverlap="1" relativeHeight="3">
            <wp:simplePos x="0" y="0"/>
            <wp:positionH relativeFrom="column">
              <wp:posOffset>5067300</wp:posOffset>
            </wp:positionH>
            <wp:positionV relativeFrom="paragraph">
              <wp:posOffset>-419100</wp:posOffset>
            </wp:positionV>
            <wp:extent cx="989965" cy="9899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4" t="-24" r="-24" b="-24"/>
                    <a:stretch>
                      <a:fillRect/>
                    </a:stretch>
                  </pic:blipFill>
                  <pic:spPr bwMode="auto">
                    <a:xfrm>
                      <a:off x="0" y="0"/>
                      <a:ext cx="989965" cy="989965"/>
                    </a:xfrm>
                    <a:prstGeom prst="rect">
                      <a:avLst/>
                    </a:prstGeom>
                  </pic:spPr>
                </pic:pic>
              </a:graphicData>
            </a:graphic>
          </wp:anchor>
        </w:drawing>
      </w:r>
      <w:r>
        <w:rPr>
          <w:rFonts w:eastAsia="Calibri" w:cs="Calibri"/>
          <w:b w:val="false"/>
          <w:bCs w:val="false"/>
          <w:i w:val="false"/>
          <w:iCs w:val="false"/>
          <w:caps w:val="false"/>
          <w:smallCaps w:val="false"/>
          <w:color w:val="000000"/>
          <w:sz w:val="72"/>
          <w:szCs w:val="72"/>
          <w:lang w:val="en-GB"/>
        </w:rPr>
        <w:t>Springwood Primary School</w:t>
      </w:r>
    </w:p>
    <w:p>
      <w:pPr>
        <w:pStyle w:val="Normal"/>
        <w:rPr>
          <w:lang w:val="en-US"/>
        </w:rPr>
      </w:pPr>
      <w:r>
        <w:rPr>
          <w:lang w:val="en-US"/>
        </w:rPr>
      </w:r>
    </w:p>
    <w:tbl>
      <w:tblPr>
        <w:tblW w:w="9014" w:type="dxa"/>
        <w:jc w:val="left"/>
        <w:tblInd w:w="105" w:type="dxa"/>
        <w:tblLayout w:type="fixed"/>
        <w:tblCellMar>
          <w:top w:w="0" w:type="dxa"/>
          <w:left w:w="105" w:type="dxa"/>
          <w:bottom w:w="0" w:type="dxa"/>
          <w:right w:w="105" w:type="dxa"/>
        </w:tblCellMar>
      </w:tblPr>
      <w:tblGrid>
        <w:gridCol w:w="1858"/>
        <w:gridCol w:w="7156"/>
      </w:tblGrid>
      <w:tr>
        <w:trPr>
          <w:trHeight w:val="300" w:hRule="atLeast"/>
        </w:trPr>
        <w:tc>
          <w:tcPr>
            <w:tcW w:w="1858"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Position</w:t>
            </w:r>
          </w:p>
        </w:tc>
        <w:tc>
          <w:tcPr>
            <w:tcW w:w="7156"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Teaching Assistant Level 3 – Hydrotherapy Lead (Swinton Site)</w:t>
            </w:r>
          </w:p>
        </w:tc>
      </w:tr>
      <w:tr>
        <w:trPr>
          <w:trHeight w:val="300" w:hRule="atLeast"/>
        </w:trPr>
        <w:tc>
          <w:tcPr>
            <w:tcW w:w="1858"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Scale</w:t>
            </w:r>
          </w:p>
        </w:tc>
        <w:tc>
          <w:tcPr>
            <w:tcW w:w="7156" w:type="dxa"/>
            <w:tcBorders>
              <w:top w:val="single" w:sz="6" w:space="0" w:color="000000"/>
              <w:left w:val="single" w:sz="6" w:space="0" w:color="000000"/>
              <w:bottom w:val="single" w:sz="6" w:space="0" w:color="000000"/>
              <w:right w:val="single" w:sz="6" w:space="0" w:color="000000"/>
            </w:tcBorders>
          </w:tcPr>
          <w:p>
            <w:pPr>
              <w:pStyle w:val="Normal"/>
              <w:widowControl/>
              <w:rPr/>
            </w:pPr>
            <w:r>
              <w:rPr>
                <w:rFonts w:eastAsia="Times New Roman" w:cs="Times New Roman"/>
                <w:b w:val="false"/>
                <w:bCs w:val="false"/>
                <w:i w:val="false"/>
                <w:iCs w:val="false"/>
                <w:caps w:val="false"/>
                <w:smallCaps w:val="false"/>
                <w:color w:val="000000"/>
                <w:sz w:val="20"/>
                <w:szCs w:val="20"/>
                <w:lang w:val="en-GB"/>
              </w:rPr>
              <w:t xml:space="preserve">Grade Scale: 2C – point 14-18 plus SNA 2 pro rata </w:t>
            </w:r>
            <w:r>
              <w:rPr>
                <w:rFonts w:eastAsia="Times New Roman" w:cs="Times New Roman"/>
                <w:sz w:val="20"/>
                <w:szCs w:val="20"/>
                <w:lang w:val="en-GB"/>
              </w:rPr>
              <w:t xml:space="preserve"> </w:t>
            </w:r>
          </w:p>
        </w:tc>
      </w:tr>
      <w:tr>
        <w:trPr>
          <w:trHeight w:val="300" w:hRule="atLeast"/>
        </w:trPr>
        <w:tc>
          <w:tcPr>
            <w:tcW w:w="1858"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Required</w:t>
            </w:r>
          </w:p>
        </w:tc>
        <w:tc>
          <w:tcPr>
            <w:tcW w:w="7156"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 xml:space="preserve">September 2026 </w:t>
            </w:r>
          </w:p>
        </w:tc>
      </w:tr>
      <w:tr>
        <w:trPr>
          <w:trHeight w:val="300" w:hRule="atLeast"/>
        </w:trPr>
        <w:tc>
          <w:tcPr>
            <w:tcW w:w="1858"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Hours</w:t>
            </w:r>
          </w:p>
        </w:tc>
        <w:tc>
          <w:tcPr>
            <w:tcW w:w="7156"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21.5 Hours Term Time Only (Wednesday to Friday)</w:t>
            </w:r>
          </w:p>
        </w:tc>
      </w:tr>
      <w:tr>
        <w:trPr>
          <w:trHeight w:val="285" w:hRule="atLeast"/>
        </w:trPr>
        <w:tc>
          <w:tcPr>
            <w:tcW w:w="1858"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Location</w:t>
            </w:r>
          </w:p>
        </w:tc>
        <w:tc>
          <w:tcPr>
            <w:tcW w:w="7156"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 xml:space="preserve">The postholder will be primarily based at our main site in Swinton but may be required to work at any of our sites on rare occasions. </w:t>
            </w:r>
          </w:p>
        </w:tc>
      </w:tr>
      <w:tr>
        <w:trPr>
          <w:trHeight w:val="300" w:hRule="atLeast"/>
        </w:trPr>
        <w:tc>
          <w:tcPr>
            <w:tcW w:w="1858"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Email</w:t>
            </w:r>
          </w:p>
        </w:tc>
        <w:tc>
          <w:tcPr>
            <w:tcW w:w="7156" w:type="dxa"/>
            <w:tcBorders>
              <w:top w:val="single" w:sz="6" w:space="0" w:color="000000"/>
              <w:left w:val="single" w:sz="6" w:space="0" w:color="000000"/>
              <w:bottom w:val="single" w:sz="6" w:space="0" w:color="000000"/>
              <w:right w:val="single" w:sz="6" w:space="0" w:color="000000"/>
            </w:tcBorders>
          </w:tcPr>
          <w:p>
            <w:pPr>
              <w:pStyle w:val="Normal"/>
              <w:rPr/>
            </w:pPr>
            <w:hyperlink r:id="rId3">
              <w:r>
                <w:rPr>
                  <w:rStyle w:val="Hyperlink"/>
                  <w:rFonts w:eastAsia="Times New Roman" w:cs="Times New Roman"/>
                  <w:b w:val="false"/>
                  <w:bCs w:val="false"/>
                  <w:i w:val="false"/>
                  <w:iCs w:val="false"/>
                  <w:sz w:val="20"/>
                  <w:szCs w:val="20"/>
                  <w:lang w:val="en-GB"/>
                </w:rPr>
                <w:t>springwood.hr@thelinkeducationtrust.co.uk</w:t>
              </w:r>
            </w:hyperlink>
          </w:p>
        </w:tc>
      </w:tr>
    </w:tbl>
    <w:p>
      <w:pPr>
        <w:pStyle w:val="Normal"/>
        <w:rPr/>
      </w:pPr>
      <w:r>
        <w:rPr/>
      </w:r>
    </w:p>
    <w:tbl>
      <w:tblPr>
        <w:tblW w:w="9014" w:type="dxa"/>
        <w:jc w:val="left"/>
        <w:tblInd w:w="105" w:type="dxa"/>
        <w:tblLayout w:type="fixed"/>
        <w:tblCellMar>
          <w:top w:w="0" w:type="dxa"/>
          <w:left w:w="105" w:type="dxa"/>
          <w:bottom w:w="0" w:type="dxa"/>
          <w:right w:w="105" w:type="dxa"/>
        </w:tblCellMar>
      </w:tblPr>
      <w:tblGrid>
        <w:gridCol w:w="1858"/>
        <w:gridCol w:w="7156"/>
      </w:tblGrid>
      <w:tr>
        <w:trPr>
          <w:trHeight w:val="300" w:hRule="atLeast"/>
        </w:trPr>
        <w:tc>
          <w:tcPr>
            <w:tcW w:w="1858"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Closing Date</w:t>
            </w:r>
          </w:p>
        </w:tc>
        <w:tc>
          <w:tcPr>
            <w:tcW w:w="7156" w:type="dxa"/>
            <w:tcBorders>
              <w:top w:val="single" w:sz="6" w:space="0" w:color="000000"/>
              <w:left w:val="single" w:sz="6" w:space="0" w:color="000000"/>
              <w:bottom w:val="single" w:sz="6" w:space="0" w:color="000000"/>
              <w:right w:val="single" w:sz="6" w:space="0" w:color="000000"/>
            </w:tcBorders>
          </w:tcPr>
          <w:p>
            <w:pPr>
              <w:pStyle w:val="Normal"/>
              <w:rPr/>
            </w:pPr>
            <w:r>
              <w:rPr>
                <w:rFonts w:eastAsia="Times New Roman" w:cs="Times New Roman"/>
                <w:b w:val="false"/>
                <w:bCs w:val="false"/>
                <w:i w:val="false"/>
                <w:iCs w:val="false"/>
                <w:sz w:val="20"/>
                <w:szCs w:val="20"/>
                <w:lang w:val="en-GB"/>
              </w:rPr>
              <w:t>Thursday 13</w:t>
            </w:r>
            <w:r>
              <w:rPr>
                <w:rFonts w:eastAsia="Times New Roman" w:cs="Times New Roman"/>
                <w:b w:val="false"/>
                <w:bCs w:val="false"/>
                <w:i w:val="false"/>
                <w:iCs w:val="false"/>
                <w:sz w:val="20"/>
                <w:szCs w:val="20"/>
                <w:vertAlign w:val="superscript"/>
                <w:lang w:val="en-GB"/>
              </w:rPr>
              <w:t>th</w:t>
            </w:r>
            <w:r>
              <w:rPr>
                <w:rFonts w:eastAsia="Times New Roman" w:cs="Times New Roman"/>
                <w:b w:val="false"/>
                <w:bCs w:val="false"/>
                <w:i w:val="false"/>
                <w:iCs w:val="false"/>
                <w:sz w:val="20"/>
                <w:szCs w:val="20"/>
                <w:lang w:val="en-GB"/>
              </w:rPr>
              <w:t xml:space="preserve"> August 2026</w:t>
            </w:r>
          </w:p>
        </w:tc>
      </w:tr>
      <w:tr>
        <w:trPr>
          <w:trHeight w:val="300" w:hRule="atLeast"/>
        </w:trPr>
        <w:tc>
          <w:tcPr>
            <w:tcW w:w="1858"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Shortlisting Date</w:t>
            </w:r>
          </w:p>
        </w:tc>
        <w:tc>
          <w:tcPr>
            <w:tcW w:w="7156" w:type="dxa"/>
            <w:tcBorders>
              <w:top w:val="single" w:sz="6" w:space="0" w:color="000000"/>
              <w:left w:val="single" w:sz="6" w:space="0" w:color="000000"/>
              <w:bottom w:val="single" w:sz="6" w:space="0" w:color="000000"/>
              <w:right w:val="single" w:sz="6" w:space="0" w:color="000000"/>
            </w:tcBorders>
          </w:tcPr>
          <w:p>
            <w:pPr>
              <w:pStyle w:val="Normal"/>
              <w:rPr/>
            </w:pPr>
            <w:r>
              <w:rPr>
                <w:rFonts w:eastAsia="Times New Roman" w:cs="Times New Roman"/>
                <w:b w:val="false"/>
                <w:bCs w:val="false"/>
                <w:i w:val="false"/>
                <w:iCs w:val="false"/>
                <w:sz w:val="20"/>
                <w:szCs w:val="20"/>
                <w:lang w:val="en-GB"/>
              </w:rPr>
              <w:t>Friday 14</w:t>
            </w:r>
            <w:r>
              <w:rPr>
                <w:rFonts w:eastAsia="Times New Roman" w:cs="Times New Roman"/>
                <w:b w:val="false"/>
                <w:bCs w:val="false"/>
                <w:i w:val="false"/>
                <w:iCs w:val="false"/>
                <w:sz w:val="20"/>
                <w:szCs w:val="20"/>
                <w:vertAlign w:val="superscript"/>
                <w:lang w:val="en-GB"/>
              </w:rPr>
              <w:t>th</w:t>
            </w:r>
            <w:r>
              <w:rPr>
                <w:rFonts w:eastAsia="Times New Roman" w:cs="Times New Roman"/>
                <w:b w:val="false"/>
                <w:bCs w:val="false"/>
                <w:i w:val="false"/>
                <w:iCs w:val="false"/>
                <w:sz w:val="20"/>
                <w:szCs w:val="20"/>
                <w:lang w:val="en-GB"/>
              </w:rPr>
              <w:t xml:space="preserve"> August 2026</w:t>
            </w:r>
          </w:p>
        </w:tc>
      </w:tr>
      <w:tr>
        <w:trPr>
          <w:trHeight w:val="300" w:hRule="atLeast"/>
        </w:trPr>
        <w:tc>
          <w:tcPr>
            <w:tcW w:w="1858" w:type="dxa"/>
            <w:tcBorders>
              <w:top w:val="single" w:sz="6" w:space="0" w:color="000000"/>
              <w:left w:val="single" w:sz="6" w:space="0" w:color="000000"/>
              <w:bottom w:val="single" w:sz="6" w:space="0" w:color="000000"/>
              <w:right w:val="single" w:sz="6" w:space="0" w:color="000000"/>
            </w:tcBorders>
          </w:tcPr>
          <w:p>
            <w:pPr>
              <w:pStyle w:val="Normal"/>
              <w:rPr>
                <w:rFonts w:eastAsia="Times New Roman" w:cs="Times New Roman"/>
                <w:b w:val="false"/>
                <w:bCs w:val="false"/>
                <w:i w:val="false"/>
                <w:i w:val="false"/>
                <w:iCs w:val="false"/>
                <w:sz w:val="20"/>
                <w:szCs w:val="20"/>
                <w:lang w:val="en-GB"/>
              </w:rPr>
            </w:pPr>
            <w:r>
              <w:rPr>
                <w:rFonts w:eastAsia="Times New Roman" w:cs="Times New Roman"/>
                <w:b w:val="false"/>
                <w:bCs w:val="false"/>
                <w:i w:val="false"/>
                <w:iCs w:val="false"/>
                <w:sz w:val="20"/>
                <w:szCs w:val="20"/>
                <w:lang w:val="en-GB"/>
              </w:rPr>
              <w:t>Interviews</w:t>
            </w:r>
          </w:p>
        </w:tc>
        <w:tc>
          <w:tcPr>
            <w:tcW w:w="7156" w:type="dxa"/>
            <w:tcBorders>
              <w:top w:val="single" w:sz="6" w:space="0" w:color="000000"/>
              <w:left w:val="single" w:sz="6" w:space="0" w:color="000000"/>
              <w:bottom w:val="single" w:sz="6" w:space="0" w:color="000000"/>
              <w:right w:val="single" w:sz="6" w:space="0" w:color="000000"/>
            </w:tcBorders>
          </w:tcPr>
          <w:p>
            <w:pPr>
              <w:pStyle w:val="Normal"/>
              <w:rPr/>
            </w:pPr>
            <w:r>
              <w:rPr>
                <w:rFonts w:eastAsia="Times New Roman" w:cs="Times New Roman"/>
                <w:b w:val="false"/>
                <w:bCs w:val="false"/>
                <w:i w:val="false"/>
                <w:iCs w:val="false"/>
                <w:color w:val="000000"/>
                <w:sz w:val="20"/>
                <w:szCs w:val="20"/>
                <w:lang w:val="en-GB"/>
              </w:rPr>
              <w:t>Monday 17</w:t>
            </w:r>
            <w:r>
              <w:rPr>
                <w:rFonts w:eastAsia="Times New Roman" w:cs="Times New Roman"/>
                <w:b w:val="false"/>
                <w:bCs w:val="false"/>
                <w:i w:val="false"/>
                <w:iCs w:val="false"/>
                <w:color w:val="000000"/>
                <w:sz w:val="20"/>
                <w:szCs w:val="20"/>
                <w:vertAlign w:val="superscript"/>
                <w:lang w:val="en-GB"/>
              </w:rPr>
              <w:t>th</w:t>
            </w:r>
            <w:r>
              <w:rPr>
                <w:rFonts w:eastAsia="Times New Roman" w:cs="Times New Roman"/>
                <w:b w:val="false"/>
                <w:bCs w:val="false"/>
                <w:i w:val="false"/>
                <w:iCs w:val="false"/>
                <w:color w:val="000000"/>
                <w:sz w:val="20"/>
                <w:szCs w:val="20"/>
                <w:lang w:val="en-GB"/>
              </w:rPr>
              <w:t xml:space="preserve"> August  2026</w:t>
            </w:r>
          </w:p>
        </w:tc>
      </w:tr>
    </w:tbl>
    <w:p>
      <w:pPr>
        <w:pStyle w:val="Normal"/>
        <w:rPr/>
      </w:pPr>
      <w:r>
        <w:rPr/>
      </w:r>
    </w:p>
    <w:p>
      <w:pPr>
        <w:pStyle w:val="Normal"/>
        <w:jc w:val="both"/>
        <w:rPr/>
      </w:pPr>
      <w:r>
        <w:rPr>
          <w:rFonts w:eastAsia="Calibri" w:cs="Calibri"/>
          <w:sz w:val="22"/>
          <w:szCs w:val="22"/>
        </w:rPr>
        <w:t xml:space="preserve">We are looking to appoint a teaching assistant who is qualified at Level 3, to work as a Hydrotherapy Lead to support swimming sessions across the week.  The successful candidate will </w:t>
      </w:r>
      <w:r>
        <w:rPr>
          <w:rFonts w:eastAsia="Calibri" w:cs="Calibri"/>
          <w:b w:val="false"/>
          <w:bCs w:val="false"/>
          <w:i w:val="false"/>
          <w:iCs w:val="false"/>
          <w:caps w:val="false"/>
          <w:smallCaps w:val="false"/>
          <w:color w:val="0B0C0C"/>
          <w:sz w:val="22"/>
          <w:szCs w:val="22"/>
          <w:lang w:val="en-GB"/>
        </w:rPr>
        <w:t xml:space="preserve">create a calm, safe and purposeful learning environment for pupils during swimming and hydrotherapy sessions. </w:t>
      </w:r>
      <w:r>
        <w:rPr>
          <w:rFonts w:eastAsia="Calibri" w:cs="Calibri"/>
          <w:sz w:val="22"/>
          <w:szCs w:val="22"/>
          <w:lang w:val="en-GB"/>
        </w:rPr>
        <w:t xml:space="preserve"> </w:t>
      </w:r>
    </w:p>
    <w:p>
      <w:pPr>
        <w:pStyle w:val="Normal"/>
        <w:jc w:val="both"/>
        <w:rPr>
          <w:rFonts w:eastAsia="Calibri" w:cs="Calibri"/>
          <w:b w:val="false"/>
          <w:bCs w:val="false"/>
          <w:i w:val="false"/>
          <w:i w:val="false"/>
          <w:iCs w:val="false"/>
          <w:caps w:val="false"/>
          <w:smallCaps w:val="false"/>
          <w:color w:val="0B0C0C"/>
          <w:sz w:val="22"/>
          <w:szCs w:val="22"/>
          <w:lang w:val="en-GB"/>
        </w:rPr>
      </w:pPr>
      <w:r>
        <w:rPr>
          <w:rFonts w:eastAsia="Calibri" w:cs="Calibri"/>
          <w:b w:val="false"/>
          <w:bCs w:val="false"/>
          <w:i w:val="false"/>
          <w:iCs w:val="false"/>
          <w:caps w:val="false"/>
          <w:smallCaps w:val="false"/>
          <w:color w:val="0B0C0C"/>
          <w:sz w:val="22"/>
          <w:szCs w:val="22"/>
          <w:lang w:val="en-GB"/>
        </w:rPr>
      </w:r>
    </w:p>
    <w:p>
      <w:pPr>
        <w:pStyle w:val="Normal"/>
        <w:jc w:val="both"/>
        <w:rPr/>
      </w:pPr>
      <w:r>
        <w:rPr>
          <w:rFonts w:eastAsia="Calibri" w:cs="Calibri"/>
          <w:b w:val="false"/>
          <w:bCs w:val="false"/>
          <w:i w:val="false"/>
          <w:iCs w:val="false"/>
          <w:caps w:val="false"/>
          <w:smallCaps w:val="false"/>
          <w:color w:val="0B0C0C"/>
          <w:sz w:val="22"/>
          <w:szCs w:val="22"/>
          <w:lang w:val="en-GB"/>
        </w:rPr>
        <w:t>You will responsible for managing and maintaining the pool area, in order to support children with complex needs in accessing meaningful water</w:t>
      </w:r>
      <w:r>
        <w:rPr/>
        <w:noBreakHyphen/>
      </w:r>
      <w:r>
        <w:rPr>
          <w:rFonts w:eastAsia="Calibri" w:cs="Calibri"/>
          <w:b w:val="false"/>
          <w:bCs w:val="false"/>
          <w:i w:val="false"/>
          <w:iCs w:val="false"/>
          <w:caps w:val="false"/>
          <w:smallCaps w:val="false"/>
          <w:color w:val="0B0C0C"/>
          <w:sz w:val="22"/>
          <w:szCs w:val="22"/>
          <w:lang w:val="en-GB"/>
        </w:rPr>
        <w:t>based learning. You will also lead and support swimming teaching for class groups, helping pupils develop confidence, key water skills, and positive relationships with swimming and movement.</w:t>
      </w:r>
    </w:p>
    <w:p>
      <w:pPr>
        <w:pStyle w:val="Normal"/>
        <w:jc w:val="both"/>
        <w:rPr>
          <w:rFonts w:eastAsia="Calibri" w:cs="Calibri"/>
          <w:sz w:val="22"/>
          <w:szCs w:val="22"/>
          <w:lang w:val="en-GB"/>
        </w:rPr>
      </w:pPr>
      <w:r>
        <w:rPr>
          <w:rFonts w:eastAsia="Calibri" w:cs="Calibri"/>
          <w:sz w:val="22"/>
          <w:szCs w:val="22"/>
          <w:lang w:val="en-GB"/>
        </w:rPr>
      </w:r>
    </w:p>
    <w:p>
      <w:pPr>
        <w:pStyle w:val="Normal"/>
        <w:jc w:val="both"/>
        <w:rPr>
          <w:rFonts w:eastAsia="Calibri" w:cs="Calibri"/>
          <w:sz w:val="22"/>
          <w:szCs w:val="22"/>
        </w:rPr>
      </w:pPr>
      <w:r>
        <w:rPr>
          <w:rFonts w:eastAsia="Calibri" w:cs="Calibri"/>
          <w:sz w:val="22"/>
          <w:szCs w:val="22"/>
        </w:rPr>
        <w:t xml:space="preserve">You will be trained in the National Pool Lifeguard Qualification (NPQL) or be willing to undertake this qualification. </w:t>
      </w:r>
    </w:p>
    <w:p>
      <w:pPr>
        <w:pStyle w:val="Normal"/>
        <w:jc w:val="both"/>
        <w:rPr>
          <w:rFonts w:eastAsia="Calibri" w:cs="Calibri"/>
          <w:sz w:val="22"/>
          <w:szCs w:val="22"/>
        </w:rPr>
      </w:pPr>
      <w:r>
        <w:rPr>
          <w:rFonts w:eastAsia="Calibri" w:cs="Calibri"/>
          <w:sz w:val="22"/>
          <w:szCs w:val="22"/>
        </w:rPr>
      </w:r>
    </w:p>
    <w:p>
      <w:pPr>
        <w:pStyle w:val="Normal"/>
        <w:jc w:val="both"/>
        <w:rPr/>
      </w:pPr>
      <w:r>
        <w:rPr>
          <w:rFonts w:eastAsia="Calibri" w:cs="Calibri"/>
          <w:b/>
          <w:bCs/>
          <w:sz w:val="22"/>
          <w:szCs w:val="22"/>
        </w:rPr>
        <w:t>PLEASE NOTE -</w:t>
      </w:r>
      <w:r>
        <w:rPr>
          <w:rFonts w:eastAsia="Calibri" w:cs="Calibri"/>
          <w:sz w:val="22"/>
          <w:szCs w:val="22"/>
        </w:rPr>
        <w:t xml:space="preserve"> in order to complete the qualification you must have the following </w:t>
      </w:r>
      <w:r>
        <w:rPr>
          <w:rFonts w:eastAsia="Calibri" w:cs="Calibri"/>
          <w:color w:val="auto"/>
          <w:sz w:val="22"/>
          <w:szCs w:val="22"/>
        </w:rPr>
        <w:t>prerequisites.</w:t>
      </w:r>
    </w:p>
    <w:p>
      <w:pPr>
        <w:pStyle w:val="Normal"/>
        <w:jc w:val="both"/>
        <w:rPr>
          <w:rFonts w:eastAsia="Calibri" w:cs="Calibri"/>
          <w:b/>
          <w:bCs/>
          <w:color w:val="333333"/>
          <w:sz w:val="22"/>
          <w:szCs w:val="22"/>
        </w:rPr>
      </w:pPr>
      <w:r>
        <w:rPr>
          <w:rFonts w:eastAsia="Calibri" w:cs="Calibri"/>
          <w:b/>
          <w:bCs/>
          <w:color w:val="333333"/>
          <w:sz w:val="22"/>
          <w:szCs w:val="22"/>
        </w:rPr>
        <w:t> </w:t>
      </w:r>
    </w:p>
    <w:p>
      <w:pPr>
        <w:pStyle w:val="Normal"/>
        <w:shd w:fill="FFFFFF" w:val="clear"/>
        <w:spacing w:before="0" w:after="158"/>
        <w:jc w:val="both"/>
        <w:rPr>
          <w:rFonts w:eastAsia="Calibri" w:cs="Calibri"/>
          <w:color w:val="auto"/>
          <w:sz w:val="22"/>
          <w:szCs w:val="22"/>
        </w:rPr>
      </w:pPr>
      <w:r>
        <w:rPr>
          <w:rFonts w:eastAsia="Calibri" w:cs="Calibri"/>
          <w:color w:val="auto"/>
          <w:sz w:val="22"/>
          <w:szCs w:val="22"/>
        </w:rPr>
        <w:t>Every candidate attending a NPLQ course must be 16yr old at the time of taking the NPLQ final assessment and be able to:</w:t>
      </w:r>
    </w:p>
    <w:p>
      <w:pPr>
        <w:pStyle w:val="Normal"/>
        <w:numPr>
          <w:ilvl w:val="0"/>
          <w:numId w:val="1"/>
        </w:numPr>
        <w:shd w:fill="FFFFFF" w:val="clear"/>
        <w:spacing w:before="280" w:after="0"/>
        <w:jc w:val="both"/>
        <w:rPr/>
      </w:pPr>
      <w:r>
        <w:rPr>
          <w:rFonts w:eastAsia="Calibri" w:cs="Calibri"/>
          <w:color w:val="auto"/>
          <w:sz w:val="22"/>
          <w:szCs w:val="22"/>
        </w:rPr>
        <w:t>Jump/dive into deep water</w:t>
      </w:r>
    </w:p>
    <w:p>
      <w:pPr>
        <w:pStyle w:val="Normal"/>
        <w:numPr>
          <w:ilvl w:val="0"/>
          <w:numId w:val="1"/>
        </w:numPr>
        <w:shd w:fill="FFFFFF" w:val="clear"/>
        <w:spacing w:before="0" w:after="0"/>
        <w:jc w:val="both"/>
        <w:rPr/>
      </w:pPr>
      <w:r>
        <w:rPr>
          <w:rFonts w:eastAsia="Calibri" w:cs="Calibri"/>
          <w:color w:val="auto"/>
          <w:sz w:val="22"/>
          <w:szCs w:val="22"/>
        </w:rPr>
        <w:t>Swim 50 metres in less than 60 seconds</w:t>
      </w:r>
    </w:p>
    <w:p>
      <w:pPr>
        <w:pStyle w:val="Normal"/>
        <w:numPr>
          <w:ilvl w:val="0"/>
          <w:numId w:val="1"/>
        </w:numPr>
        <w:shd w:fill="FFFFFF" w:val="clear"/>
        <w:spacing w:before="0" w:after="0"/>
        <w:jc w:val="both"/>
        <w:rPr/>
      </w:pPr>
      <w:r>
        <w:rPr>
          <w:rFonts w:eastAsia="Calibri" w:cs="Calibri"/>
          <w:color w:val="auto"/>
          <w:sz w:val="22"/>
          <w:szCs w:val="22"/>
        </w:rPr>
        <w:t>Swim 100 metres continuously on front and back in deep water</w:t>
      </w:r>
    </w:p>
    <w:p>
      <w:pPr>
        <w:pStyle w:val="Normal"/>
        <w:numPr>
          <w:ilvl w:val="0"/>
          <w:numId w:val="1"/>
        </w:numPr>
        <w:shd w:fill="FFFFFF" w:val="clear"/>
        <w:spacing w:before="0" w:after="0"/>
        <w:jc w:val="both"/>
        <w:rPr/>
      </w:pPr>
      <w:r>
        <w:rPr>
          <w:rFonts w:eastAsia="Calibri" w:cs="Calibri"/>
          <w:color w:val="auto"/>
          <w:sz w:val="22"/>
          <w:szCs w:val="22"/>
        </w:rPr>
        <w:t>Tread water for 30 seconds</w:t>
      </w:r>
    </w:p>
    <w:p>
      <w:pPr>
        <w:pStyle w:val="Normal"/>
        <w:numPr>
          <w:ilvl w:val="0"/>
          <w:numId w:val="1"/>
        </w:numPr>
        <w:shd w:fill="FFFFFF" w:val="clear"/>
        <w:spacing w:before="0" w:after="0"/>
        <w:jc w:val="both"/>
        <w:rPr/>
      </w:pPr>
      <w:r>
        <w:rPr>
          <w:rFonts w:eastAsia="Calibri" w:cs="Calibri"/>
          <w:color w:val="auto"/>
          <w:sz w:val="22"/>
          <w:szCs w:val="22"/>
        </w:rPr>
        <w:t>Surface dive to the floor of the pool</w:t>
      </w:r>
    </w:p>
    <w:p>
      <w:pPr>
        <w:pStyle w:val="Normal"/>
        <w:numPr>
          <w:ilvl w:val="0"/>
          <w:numId w:val="1"/>
        </w:numPr>
        <w:shd w:fill="FFFFFF" w:val="clear"/>
        <w:spacing w:before="0" w:after="280"/>
        <w:jc w:val="both"/>
        <w:rPr/>
      </w:pPr>
      <w:r>
        <w:rPr>
          <w:rFonts w:eastAsia="Calibri" w:cs="Calibri"/>
          <w:color w:val="auto"/>
          <w:sz w:val="22"/>
          <w:szCs w:val="22"/>
        </w:rPr>
        <w:t>Climb out unaided without ladder/steps and where the pool design permits</w:t>
      </w:r>
    </w:p>
    <w:p>
      <w:pPr>
        <w:pStyle w:val="Normal"/>
        <w:rPr>
          <w:rFonts w:eastAsia="Calibri" w:cs="Calibri"/>
          <w:b w:val="false"/>
          <w:bCs w:val="false"/>
          <w:i w:val="false"/>
          <w:i w:val="false"/>
          <w:iCs w:val="false"/>
          <w:caps w:val="false"/>
          <w:smallCaps w:val="false"/>
          <w:color w:val="000000"/>
          <w:sz w:val="22"/>
          <w:szCs w:val="22"/>
          <w:lang w:val="en-GB"/>
        </w:rPr>
      </w:pPr>
      <w:r>
        <w:rPr>
          <w:rFonts w:eastAsia="Calibri" w:cs="Calibri"/>
          <w:b w:val="false"/>
          <w:bCs w:val="false"/>
          <w:i w:val="false"/>
          <w:iCs w:val="false"/>
          <w:caps w:val="false"/>
          <w:smallCaps w:val="false"/>
          <w:color w:val="000000"/>
          <w:sz w:val="22"/>
          <w:szCs w:val="22"/>
          <w:lang w:val="en-GB"/>
        </w:rPr>
        <w:t>Springwood is a large primary age Special School (385 pupils aged 5 – 11, growing to 415 pupils in September 2026) based over a number of sites, which caters for pupils with moderate, severe and complex needs. Springwood is part of The LINK Education Trust.</w:t>
      </w:r>
    </w:p>
    <w:p>
      <w:pPr>
        <w:pStyle w:val="Normal"/>
        <w:rPr>
          <w:rFonts w:eastAsia="Calibri" w:cs="Calibri"/>
          <w:b/>
          <w:bCs/>
          <w:i w:val="false"/>
          <w:i w:val="false"/>
          <w:iCs w:val="false"/>
          <w:caps w:val="false"/>
          <w:smallCaps w:val="false"/>
          <w:color w:val="000000"/>
          <w:sz w:val="22"/>
          <w:szCs w:val="22"/>
          <w:lang w:val="en-GB"/>
        </w:rPr>
      </w:pPr>
      <w:r>
        <w:rPr>
          <w:rFonts w:eastAsia="Calibri" w:cs="Calibri"/>
          <w:b/>
          <w:bCs/>
          <w:i w:val="false"/>
          <w:iCs w:val="false"/>
          <w:caps w:val="false"/>
          <w:smallCaps w:val="false"/>
          <w:color w:val="000000"/>
          <w:sz w:val="22"/>
          <w:szCs w:val="22"/>
          <w:lang w:val="en-GB"/>
        </w:rPr>
      </w:r>
    </w:p>
    <w:p>
      <w:pPr>
        <w:pStyle w:val="Normal"/>
        <w:rPr>
          <w:rFonts w:eastAsia="Calibri" w:cs="Calibri"/>
          <w:b w:val="false"/>
          <w:bCs w:val="false"/>
          <w:i w:val="false"/>
          <w:i w:val="false"/>
          <w:iCs w:val="false"/>
          <w:caps w:val="false"/>
          <w:smallCaps w:val="false"/>
          <w:color w:val="000000"/>
          <w:sz w:val="22"/>
          <w:szCs w:val="22"/>
          <w:lang w:val="en-GB"/>
        </w:rPr>
      </w:pPr>
      <w:r>
        <w:rPr>
          <w:rFonts w:eastAsia="Calibri" w:cs="Calibri"/>
          <w:b w:val="false"/>
          <w:bCs w:val="false"/>
          <w:i w:val="false"/>
          <w:iCs w:val="false"/>
          <w:caps w:val="false"/>
          <w:smallCaps w:val="false"/>
          <w:color w:val="000000"/>
          <w:sz w:val="22"/>
          <w:szCs w:val="22"/>
          <w:lang w:val="en-GB"/>
        </w:rPr>
        <w:t xml:space="preserve">At Springwood Primary School we are constantly striving to create the best learning opportunities for every pupil. This is an exciting opportunity to join a large and lively school and be part of its future developments.  </w:t>
      </w:r>
    </w:p>
    <w:p>
      <w:pPr>
        <w:pStyle w:val="Normal"/>
        <w:rPr>
          <w:rFonts w:eastAsia="Calibri" w:cs="Calibri"/>
          <w:b/>
          <w:bCs/>
          <w:i w:val="false"/>
          <w:i w:val="false"/>
          <w:iCs w:val="false"/>
          <w:caps w:val="false"/>
          <w:smallCaps w:val="false"/>
          <w:color w:val="000000"/>
          <w:sz w:val="22"/>
          <w:szCs w:val="22"/>
          <w:lang w:val="en-GB"/>
        </w:rPr>
      </w:pPr>
      <w:r>
        <w:rPr>
          <w:rFonts w:eastAsia="Calibri" w:cs="Calibri"/>
          <w:b/>
          <w:bCs/>
          <w:i w:val="false"/>
          <w:iCs w:val="false"/>
          <w:caps w:val="false"/>
          <w:smallCaps w:val="false"/>
          <w:color w:val="000000"/>
          <w:sz w:val="22"/>
          <w:szCs w:val="22"/>
          <w:lang w:val="en-GB"/>
        </w:rPr>
      </w:r>
    </w:p>
    <w:p>
      <w:pPr>
        <w:pStyle w:val="Normal"/>
        <w:rPr/>
      </w:pPr>
      <w:r>
        <w:rPr>
          <w:rFonts w:eastAsia="Calibri" w:cs="Calibri"/>
          <w:b w:val="false"/>
          <w:bCs w:val="false"/>
          <w:i w:val="false"/>
          <w:iCs w:val="false"/>
          <w:caps w:val="false"/>
          <w:smallCaps w:val="false"/>
          <w:color w:val="000000"/>
          <w:sz w:val="22"/>
          <w:szCs w:val="22"/>
          <w:lang w:val="en-GB"/>
        </w:rPr>
        <w:t>Applicants should be</w:t>
      </w:r>
      <w:r>
        <w:rPr>
          <w:rFonts w:eastAsia="Calibri" w:cs="Calibri"/>
          <w:b/>
          <w:bCs/>
          <w:i w:val="false"/>
          <w:iCs w:val="false"/>
          <w:caps w:val="false"/>
          <w:smallCaps w:val="false"/>
          <w:color w:val="000000"/>
          <w:sz w:val="22"/>
          <w:szCs w:val="22"/>
          <w:lang w:val="en-GB"/>
        </w:rPr>
        <w:t xml:space="preserve"> </w:t>
      </w:r>
      <w:r>
        <w:rPr>
          <w:rFonts w:eastAsia="Calibri" w:cs="Calibri"/>
          <w:b w:val="false"/>
          <w:bCs w:val="false"/>
          <w:i w:val="false"/>
          <w:iCs w:val="false"/>
          <w:caps w:val="false"/>
          <w:smallCaps w:val="false"/>
          <w:color w:val="000000"/>
          <w:sz w:val="22"/>
          <w:szCs w:val="22"/>
          <w:lang w:val="en-GB"/>
        </w:rPr>
        <w:t>able to demonstrate how they meet the essential criteria as set out in Person Specification section of the attached Information Pack.</w:t>
      </w:r>
    </w:p>
    <w:p>
      <w:pPr>
        <w:pStyle w:val="Normal"/>
        <w:rPr>
          <w:rFonts w:eastAsia="Calibri" w:cs="Calibri"/>
          <w:b/>
          <w:bCs/>
          <w:i w:val="false"/>
          <w:i w:val="false"/>
          <w:iCs w:val="false"/>
          <w:caps w:val="false"/>
          <w:smallCaps w:val="false"/>
          <w:color w:val="000000"/>
          <w:sz w:val="22"/>
          <w:szCs w:val="22"/>
          <w:lang w:val="en-GB"/>
        </w:rPr>
      </w:pPr>
      <w:r>
        <w:rPr>
          <w:rFonts w:eastAsia="Calibri" w:cs="Calibri"/>
          <w:b/>
          <w:bCs/>
          <w:i w:val="false"/>
          <w:iCs w:val="false"/>
          <w:caps w:val="false"/>
          <w:smallCaps w:val="false"/>
          <w:color w:val="000000"/>
          <w:sz w:val="22"/>
          <w:szCs w:val="22"/>
          <w:lang w:val="en-GB"/>
        </w:rPr>
      </w:r>
    </w:p>
    <w:p>
      <w:pPr>
        <w:pStyle w:val="Normal"/>
        <w:rPr>
          <w:rFonts w:eastAsia="Calibri" w:cs="Calibri"/>
          <w:b w:val="false"/>
          <w:bCs w:val="false"/>
          <w:i w:val="false"/>
          <w:i w:val="false"/>
          <w:iCs w:val="false"/>
          <w:caps w:val="false"/>
          <w:smallCaps w:val="false"/>
          <w:color w:val="000000"/>
          <w:sz w:val="22"/>
          <w:szCs w:val="22"/>
          <w:lang w:val="en-GB"/>
        </w:rPr>
      </w:pPr>
      <w:r>
        <w:rPr>
          <w:rFonts w:eastAsia="Calibri" w:cs="Calibri"/>
          <w:b w:val="false"/>
          <w:bCs w:val="false"/>
          <w:i w:val="false"/>
          <w:iCs w:val="false"/>
          <w:caps w:val="false"/>
          <w:smallCaps w:val="false"/>
          <w:color w:val="000000"/>
          <w:sz w:val="22"/>
          <w:szCs w:val="22"/>
          <w:lang w:val="en-GB"/>
        </w:rPr>
        <w:t xml:space="preserve">Shortlisted candidates will be invited into school to undertake a rigorous recruitment process which may include a range of tasks and an interview. </w:t>
      </w:r>
    </w:p>
    <w:p>
      <w:pPr>
        <w:pStyle w:val="Normal"/>
        <w:rPr>
          <w:rFonts w:eastAsia="Calibri" w:cs="Calibri"/>
          <w:b/>
          <w:bCs/>
          <w:i w:val="false"/>
          <w:i w:val="false"/>
          <w:iCs w:val="false"/>
          <w:caps w:val="false"/>
          <w:smallCaps w:val="false"/>
          <w:color w:val="000000"/>
          <w:sz w:val="22"/>
          <w:szCs w:val="22"/>
          <w:lang w:val="en-GB"/>
        </w:rPr>
      </w:pPr>
      <w:r>
        <w:rPr>
          <w:rFonts w:eastAsia="Calibri" w:cs="Calibri"/>
          <w:b/>
          <w:bCs/>
          <w:i w:val="false"/>
          <w:iCs w:val="false"/>
          <w:caps w:val="false"/>
          <w:smallCaps w:val="false"/>
          <w:color w:val="000000"/>
          <w:sz w:val="22"/>
          <w:szCs w:val="22"/>
          <w:lang w:val="en-GB"/>
        </w:rPr>
      </w:r>
    </w:p>
    <w:p>
      <w:pPr>
        <w:pStyle w:val="Normal"/>
        <w:rPr>
          <w:rFonts w:eastAsia="Calibri" w:cs="Calibri"/>
          <w:b w:val="false"/>
          <w:bCs w:val="false"/>
          <w:i w:val="false"/>
          <w:i w:val="false"/>
          <w:iCs w:val="false"/>
          <w:caps w:val="false"/>
          <w:smallCaps w:val="false"/>
          <w:color w:val="000000"/>
          <w:sz w:val="22"/>
          <w:szCs w:val="22"/>
          <w:lang w:val="en-GB"/>
        </w:rPr>
      </w:pPr>
      <w:r>
        <w:rPr>
          <w:rFonts w:eastAsia="Calibri" w:cs="Calibri"/>
          <w:b w:val="false"/>
          <w:bCs w:val="false"/>
          <w:i w:val="false"/>
          <w:iCs w:val="false"/>
          <w:caps w:val="false"/>
          <w:smallCaps w:val="false"/>
          <w:color w:val="000000"/>
          <w:sz w:val="22"/>
          <w:szCs w:val="22"/>
          <w:lang w:val="en-GB"/>
        </w:rPr>
        <w:t>Our school is committed to safeguarding and promoting the welfare of children and young people and we expect all staff and volunteers to share this commitment.  The posts are subject to an enhanced DBS disclosure, together with appropriate HR clearances.</w:t>
      </w:r>
    </w:p>
    <w:p>
      <w:pPr>
        <w:pStyle w:val="Normal"/>
        <w:rPr>
          <w:rFonts w:eastAsia="Calibri" w:cs="Calibri"/>
          <w:b/>
          <w:bCs/>
          <w:i w:val="false"/>
          <w:i w:val="false"/>
          <w:iCs w:val="false"/>
          <w:caps w:val="false"/>
          <w:smallCaps w:val="false"/>
          <w:color w:val="000000"/>
          <w:sz w:val="22"/>
          <w:szCs w:val="22"/>
          <w:lang w:val="en-GB"/>
        </w:rPr>
      </w:pPr>
      <w:r>
        <w:rPr>
          <w:rFonts w:eastAsia="Calibri" w:cs="Calibri"/>
          <w:b/>
          <w:bCs/>
          <w:i w:val="false"/>
          <w:iCs w:val="false"/>
          <w:caps w:val="false"/>
          <w:smallCaps w:val="false"/>
          <w:color w:val="000000"/>
          <w:sz w:val="22"/>
          <w:szCs w:val="22"/>
          <w:lang w:val="en-GB"/>
        </w:rPr>
      </w:r>
    </w:p>
    <w:p>
      <w:pPr>
        <w:pStyle w:val="Normal"/>
        <w:rPr>
          <w:rFonts w:eastAsia="Calibri" w:cs="Calibri"/>
          <w:b w:val="false"/>
          <w:bCs w:val="false"/>
          <w:i w:val="false"/>
          <w:i w:val="false"/>
          <w:iCs w:val="false"/>
          <w:caps w:val="false"/>
          <w:smallCaps w:val="false"/>
          <w:color w:val="000000"/>
          <w:sz w:val="22"/>
          <w:szCs w:val="22"/>
          <w:lang w:val="en-GB"/>
        </w:rPr>
      </w:pPr>
      <w:r>
        <w:rPr>
          <w:rFonts w:eastAsia="Calibri" w:cs="Calibri"/>
          <w:b w:val="false"/>
          <w:bCs w:val="false"/>
          <w:i w:val="false"/>
          <w:iCs w:val="false"/>
          <w:caps w:val="false"/>
          <w:smallCaps w:val="false"/>
          <w:color w:val="000000"/>
          <w:sz w:val="22"/>
          <w:szCs w:val="22"/>
          <w:lang w:val="en-GB"/>
        </w:rPr>
        <w:t>Please note shortlisted candidates references may be requested prior to interview.</w:t>
      </w:r>
    </w:p>
    <w:p>
      <w:pPr>
        <w:pStyle w:val="Normal"/>
        <w:rPr>
          <w:rFonts w:eastAsia="Calibri" w:cs="Calibri"/>
          <w:b w:val="false"/>
          <w:bCs w:val="false"/>
          <w:i w:val="false"/>
          <w:i w:val="false"/>
          <w:iCs w:val="false"/>
          <w:caps w:val="false"/>
          <w:smallCaps w:val="false"/>
          <w:color w:val="000000"/>
          <w:sz w:val="22"/>
          <w:szCs w:val="22"/>
          <w:lang w:val="en-GB"/>
        </w:rPr>
      </w:pPr>
      <w:r>
        <w:rPr>
          <w:rFonts w:eastAsia="Calibri" w:cs="Calibri"/>
          <w:b w:val="false"/>
          <w:bCs w:val="false"/>
          <w:i w:val="false"/>
          <w:iCs w:val="false"/>
          <w:caps w:val="false"/>
          <w:smallCaps w:val="false"/>
          <w:color w:val="000000"/>
          <w:sz w:val="22"/>
          <w:szCs w:val="22"/>
          <w:lang w:val="en-GB"/>
        </w:rPr>
      </w:r>
    </w:p>
    <w:p>
      <w:pPr>
        <w:pStyle w:val="Normal"/>
        <w:jc w:val="center"/>
        <w:rPr>
          <w:rFonts w:ascii="Arial" w:hAnsi="Arial" w:eastAsia="Arial" w:cs="Arial"/>
          <w:b/>
          <w:bCs/>
          <w:i w:val="false"/>
          <w:i w:val="false"/>
          <w:iCs w:val="false"/>
          <w:caps w:val="false"/>
          <w:smallCaps w:val="false"/>
          <w:color w:val="000000"/>
          <w:sz w:val="22"/>
          <w:szCs w:val="22"/>
          <w:lang w:val="en-GB"/>
        </w:rPr>
      </w:pPr>
      <w:r>
        <w:drawing>
          <wp:anchor behindDoc="0" distT="0" distB="0" distL="0" distR="0" simplePos="0" locked="0" layoutInCell="1" allowOverlap="1" relativeHeight="2">
            <wp:simplePos x="0" y="0"/>
            <wp:positionH relativeFrom="column">
              <wp:posOffset>-361950</wp:posOffset>
            </wp:positionH>
            <wp:positionV relativeFrom="paragraph">
              <wp:posOffset>7858125</wp:posOffset>
            </wp:positionV>
            <wp:extent cx="1256665" cy="39941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4"/>
                    <a:srcRect l="-19" t="-60" r="-19" b="-60"/>
                    <a:stretch>
                      <a:fillRect/>
                    </a:stretch>
                  </pic:blipFill>
                  <pic:spPr bwMode="auto">
                    <a:xfrm>
                      <a:off x="0" y="0"/>
                      <a:ext cx="1256665" cy="399415"/>
                    </a:xfrm>
                    <a:prstGeom prst="rect">
                      <a:avLst/>
                    </a:prstGeom>
                  </pic:spPr>
                </pic:pic>
              </a:graphicData>
            </a:graphic>
          </wp:anchor>
        </w:drawing>
      </w:r>
      <w:r>
        <w:rPr>
          <w:rFonts w:eastAsia="Arial" w:cs="Arial" w:ascii="Arial" w:hAnsi="Arial"/>
          <w:b/>
          <w:bCs/>
          <w:i w:val="false"/>
          <w:iCs w:val="false"/>
          <w:caps w:val="false"/>
          <w:smallCaps w:val="false"/>
          <w:color w:val="000000"/>
          <w:sz w:val="22"/>
          <w:szCs w:val="22"/>
          <w:lang w:val="en-GB"/>
        </w:rPr>
        <w:t>Application is via Greater Jobs only.</w:t>
      </w:r>
    </w:p>
    <w:sectPr>
      <w:type w:val="nextPage"/>
      <w:pgSz w:w="11906" w:h="16838"/>
      <w:pgMar w:left="1440" w:right="1440" w:gutter="0" w:header="0" w:top="1134"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Calibri" w:hAnsi="Calibri" w:eastAsia="Times New Roman" w:cs="Times New Roman"/>
      <w:color w:val="auto"/>
      <w:kern w:val="0"/>
      <w:sz w:val="20"/>
      <w:szCs w:val="24"/>
      <w:lang w:val="en-GB" w:eastAsia="en-GB" w:bidi="ar-SA"/>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DefaultParagraphFont">
    <w:name w:val="Default Paragraph Font"/>
    <w:qFormat/>
    <w:rPr/>
  </w:style>
  <w:style w:type="character" w:styleId="Hyperlink">
    <w:name w:val="Hyperlink"/>
    <w:basedOn w:val="DefaultParagraphFont"/>
    <w:rPr>
      <w:color w:val="0563C1"/>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pringwood.hr@thelinkeducationtrust.co.uk" TargetMode="External"/><Relationship Id="rId4"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2026-07-20T07:16:00Z</dcterms:created>
  <dc:creator>Mrs D. Kenny</dc:creator>
  <dc:description/>
  <dc:language>en-US</dc:language>
  <cp:lastModifiedBy>Jeanette Woodward-Styles</cp:lastModifiedBy>
  <cp:lastPrinted>1995-11-21T17:41:00Z</cp:lastPrinted>
  <dcterms:modified xsi:type="dcterms:W3CDTF">2026-08-06T14:21:51Z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0x010100A7698C4A7665B449BA60D6462A4881B2</vt:lpwstr>
  </property>
  <property fmtid="{D5CDD505-2E9C-101B-9397-08002B2CF9AE}" pid="3" name="HyperlinksChanged">
    <vt:bool>0</vt:bool>
  </property>
  <property fmtid="{D5CDD505-2E9C-101B-9397-08002B2CF9AE}" pid="4" name="LinksUpToDate">
    <vt:bool>0</vt:bool>
  </property>
  <property fmtid="{D5CDD505-2E9C-101B-9397-08002B2CF9AE}" pid="5" name="Order">
    <vt:r8>148000</vt:r8>
  </property>
  <property fmtid="{D5CDD505-2E9C-101B-9397-08002B2CF9AE}" pid="6" name="ScaleCrop">
    <vt:bool>0</vt:bool>
  </property>
  <property fmtid="{D5CDD505-2E9C-101B-9397-08002B2CF9AE}" pid="7" name="ShareDoc">
    <vt:bool>0</vt:bool>
  </property>
</Properties>
</file>