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media/image5.png" ContentType="image/png"/>
  <Override PartName="/word/media/image4.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240"/>
        <w:ind w:hanging="0" w:left="0"/>
        <w:rPr/>
      </w:pPr>
      <w:r>
        <w:rPr/>
        <w:t>Highway Asset Management Technician</w:t>
      </w:r>
    </w:p>
    <w:tbl>
      <w:tblPr>
        <w:tblW w:w="10171" w:type="dxa"/>
        <w:jc w:val="left"/>
        <w:tblInd w:w="-369" w:type="dxa"/>
        <w:tblLayout w:type="fixed"/>
        <w:tblCellMar>
          <w:top w:w="57" w:type="dxa"/>
          <w:left w:w="57" w:type="dxa"/>
          <w:bottom w:w="57" w:type="dxa"/>
          <w:right w:w="57" w:type="dxa"/>
        </w:tblCellMar>
      </w:tblPr>
      <w:tblGrid>
        <w:gridCol w:w="2543"/>
        <w:gridCol w:w="2543"/>
        <w:gridCol w:w="2543"/>
        <w:gridCol w:w="2542"/>
      </w:tblGrid>
      <w:tr>
        <w:trPr>
          <w:tblHeader w:val="true"/>
          <w:trHeight w:val="272" w:hRule="atLeast"/>
          <w:cantSplit w:val="true"/>
        </w:trPr>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Service</w:t>
            </w:r>
            <w:r>
              <w:rPr>
                <w:rFonts w:cs="Arial"/>
                <w:szCs w:val="24"/>
                <w:lang w:val="en-US"/>
              </w:rPr>
              <w:t xml:space="preserve"> </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Reporting to</w:t>
            </w:r>
            <w:r>
              <w:rPr>
                <w:rFonts w:cs="Arial"/>
                <w:szCs w:val="24"/>
                <w:lang w:val="en-US"/>
              </w:rPr>
              <w:t xml:space="preserve"> </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Location</w:t>
            </w:r>
            <w:r>
              <w:rPr>
                <w:rFonts w:cs="Arial"/>
                <w:szCs w:val="24"/>
                <w:lang w:val="en-US"/>
              </w:rPr>
              <w:t xml:space="preserve"> </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Grade</w:t>
            </w:r>
            <w:r>
              <w:rPr>
                <w:rFonts w:cs="Arial"/>
                <w:szCs w:val="24"/>
                <w:lang w:val="en-US"/>
              </w:rPr>
              <w:t xml:space="preserve"> </w:t>
            </w:r>
          </w:p>
        </w:tc>
      </w:tr>
      <w:tr>
        <w:trPr>
          <w:trHeight w:val="272" w:hRule="atLeast"/>
          <w:cantSplit w:val="true"/>
        </w:trPr>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 xml:space="preserve">Highway Asset </w:t>
            </w:r>
            <w:r>
              <w:rPr>
                <w:rFonts w:cs="Arial"/>
                <w:lang w:val="en-US"/>
              </w:rPr>
              <w:t>Management</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 xml:space="preserve">Team Leader </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Cs w:val="24"/>
                <w:lang w:val="en-US"/>
              </w:rPr>
            </w:pPr>
            <w:r>
              <w:rPr>
                <w:rFonts w:cs="Arial"/>
                <w:szCs w:val="24"/>
                <w:lang w:val="en-US"/>
              </w:rPr>
              <w:t>Salford Civic Centre - Hybrid</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2B</w:t>
            </w:r>
          </w:p>
        </w:tc>
      </w:tr>
    </w:tbl>
    <w:p>
      <w:pPr>
        <w:pStyle w:val="Heading2"/>
        <w:ind w:hanging="0" w:left="0"/>
        <w:rPr/>
      </w:pPr>
      <w:r>
        <w:rPr/>
      </w:r>
    </w:p>
    <w:p>
      <w:pPr>
        <w:pStyle w:val="Heading2"/>
        <w:ind w:hanging="0" w:left="0"/>
        <w:rPr/>
      </w:pPr>
      <w:r>
        <w:rPr/>
        <w:t>About the role</w:t>
      </w:r>
    </w:p>
    <w:p>
      <w:pPr>
        <w:pStyle w:val="ListParagraph"/>
        <w:numPr>
          <w:ilvl w:val="0"/>
          <w:numId w:val="2"/>
        </w:numPr>
        <w:ind w:hanging="360" w:left="0" w:right="0"/>
        <w:rPr/>
      </w:pPr>
      <w:r>
        <w:rPr/>
        <w:t>Support the planning and delivery of a range of highway asset maintenance and improvement projects, from feasibility and initial investigation through conceptual, preliminary and detailed design, procurement, construction and completion.</w:t>
      </w:r>
    </w:p>
    <w:p>
      <w:pPr>
        <w:pStyle w:val="ListParagraph"/>
        <w:numPr>
          <w:ilvl w:val="0"/>
          <w:numId w:val="2"/>
        </w:numPr>
        <w:ind w:hanging="360" w:left="0" w:right="0"/>
        <w:rPr/>
      </w:pPr>
      <w:r>
        <w:rPr/>
        <w:t>Undertake site investigations, measurements and condition assessments; investigate engineering problems, develop practical options and contribute to cost estimates, drawings, schedules, specifications and other technical documentation.</w:t>
      </w:r>
    </w:p>
    <w:p>
      <w:pPr>
        <w:pStyle w:val="ListParagraph"/>
        <w:numPr>
          <w:ilvl w:val="0"/>
          <w:numId w:val="2"/>
        </w:numPr>
        <w:ind w:hanging="360" w:left="0" w:right="0"/>
        <w:rPr/>
      </w:pPr>
      <w:r>
        <w:rPr/>
        <w:t>Work as part of an engineering and highways team to produce accurate, coordinated and buildable design outputs for highway reconstruction, resurfacing and associated maintenance schemes.</w:t>
      </w:r>
    </w:p>
    <w:p>
      <w:pPr>
        <w:pStyle w:val="ListParagraph"/>
        <w:numPr>
          <w:ilvl w:val="0"/>
          <w:numId w:val="2"/>
        </w:numPr>
        <w:ind w:hanging="360" w:left="0" w:right="0"/>
        <w:rPr/>
      </w:pPr>
      <w:r>
        <w:rPr/>
        <w:t>Assist with procurement and contract administration activities, including the preparation of tender and contract documentation, invitation and assessment of tenders, and maintenance of clear project records.</w:t>
      </w:r>
    </w:p>
    <w:p>
      <w:pPr>
        <w:pStyle w:val="ListParagraph"/>
        <w:numPr>
          <w:ilvl w:val="0"/>
          <w:numId w:val="2"/>
        </w:numPr>
        <w:ind w:hanging="360" w:left="0" w:right="0"/>
        <w:rPr/>
      </w:pPr>
      <w:r>
        <w:rPr/>
        <w:t>Assist with supervision and inspection of construction works, including site visits and spot checks, to support compliance with the approved design, specification, programme, quality requirements and health and safety duties.</w:t>
      </w:r>
    </w:p>
    <w:p>
      <w:pPr>
        <w:pStyle w:val="ListParagraph"/>
        <w:ind w:left="0" w:right="0"/>
        <w:rPr>
          <w:lang w:val="en-US"/>
        </w:rPr>
      </w:pPr>
      <w:r>
        <w:rPr>
          <w:lang w:val="en-US"/>
        </w:rPr>
      </w:r>
    </w:p>
    <w:p>
      <w:pPr>
        <w:pStyle w:val="Heading2"/>
        <w:ind w:hanging="0" w:left="0"/>
        <w:rPr>
          <w:lang w:val="en-US"/>
        </w:rPr>
      </w:pPr>
      <w:r>
        <w:rPr>
          <w:lang w:val="en-US"/>
        </w:rPr>
        <w:t>Key outcomes</w:t>
      </w:r>
    </w:p>
    <w:p>
      <w:pPr>
        <w:pStyle w:val="ListParagraph"/>
        <w:numPr>
          <w:ilvl w:val="0"/>
          <w:numId w:val="4"/>
        </w:numPr>
        <w:ind w:hanging="360" w:left="0" w:right="0"/>
        <w:rPr/>
      </w:pPr>
      <w:r>
        <w:rPr/>
        <w:t>Highway maintenance projects are supported through feasibility, concept and detailed design, procurement, construction and completion, with proportionate technical input at each stage.</w:t>
      </w:r>
    </w:p>
    <w:p>
      <w:pPr>
        <w:pStyle w:val="ListParagraph"/>
        <w:numPr>
          <w:ilvl w:val="0"/>
          <w:numId w:val="4"/>
        </w:numPr>
        <w:ind w:hanging="360" w:left="0" w:right="0"/>
        <w:rPr/>
      </w:pPr>
      <w:r>
        <w:rPr/>
        <w:t>Site information, measurements, drawings, schedules, cost estimates, specifications and contract documentation are prepared accurately and in sufficient time to support the agreed programme of works.</w:t>
      </w:r>
    </w:p>
    <w:p>
      <w:pPr>
        <w:pStyle w:val="ListParagraph"/>
        <w:numPr>
          <w:ilvl w:val="0"/>
          <w:numId w:val="4"/>
        </w:numPr>
        <w:ind w:hanging="360" w:left="0" w:right="0"/>
        <w:rPr/>
      </w:pPr>
      <w:r>
        <w:rPr/>
        <w:t>Engineering problems are investigated methodically and practically, proportionate options are identified and communicated to support informed decisions.</w:t>
      </w:r>
    </w:p>
    <w:p>
      <w:pPr>
        <w:pStyle w:val="ListParagraph"/>
        <w:numPr>
          <w:ilvl w:val="0"/>
          <w:numId w:val="4"/>
        </w:numPr>
        <w:ind w:hanging="360" w:left="0" w:right="0"/>
        <w:rPr/>
      </w:pPr>
      <w:r>
        <w:rPr/>
        <w:t>Projects are delivered in accordance with relevant quality, health and safety, environmental, technical and corporate standards, and with due regard to cost and programme requirements.</w:t>
      </w:r>
    </w:p>
    <w:p>
      <w:pPr>
        <w:pStyle w:val="ListParagraph"/>
        <w:numPr>
          <w:ilvl w:val="0"/>
          <w:numId w:val="4"/>
        </w:numPr>
        <w:ind w:hanging="360" w:left="0" w:right="0"/>
        <w:rPr/>
      </w:pPr>
      <w:r>
        <w:rPr/>
        <w:t>Construction works are monitored through appropriate site supervision and spot checks, with defects, departures from the design or specification, risks and other concerns identified promptly and escalated to the responsible Engineer or Team Leader.</w:t>
      </w:r>
    </w:p>
    <w:p>
      <w:pPr>
        <w:pStyle w:val="ListParagraph"/>
        <w:numPr>
          <w:ilvl w:val="0"/>
          <w:numId w:val="4"/>
        </w:numPr>
        <w:ind w:hanging="360" w:left="0" w:right="0"/>
        <w:rPr/>
      </w:pPr>
      <w:r>
        <w:rPr/>
        <w:t>All work is undertaken with high regard to health and safety, including the appropriate application of the Construction (Design and Management) Regulations and other relevant legislation, standards and procedures.</w:t>
      </w:r>
    </w:p>
    <w:p>
      <w:pPr>
        <w:pStyle w:val="ListParagraph"/>
        <w:numPr>
          <w:ilvl w:val="0"/>
          <w:numId w:val="4"/>
        </w:numPr>
        <w:ind w:hanging="360" w:left="0" w:right="0"/>
        <w:rPr/>
      </w:pPr>
      <w:r>
        <w:rPr/>
        <w:t>Accurate electronic and manual records are maintained in accordance with service procedures, supporting effective project governance, asset management, audit requirements and continuous service improvement.</w:t>
      </w:r>
    </w:p>
    <w:p>
      <w:pPr>
        <w:pStyle w:val="ListParagraph"/>
        <w:numPr>
          <w:ilvl w:val="0"/>
          <w:numId w:val="4"/>
        </w:numPr>
        <w:ind w:hanging="360" w:left="0" w:right="0"/>
        <w:rPr/>
      </w:pPr>
      <w:r>
        <w:rPr/>
        <w:t>Personal deadlines and targets are planned and met, contributing to team, service and departmental objectives and responding effectively to changing priorities and programmes of work.</w:t>
      </w:r>
    </w:p>
    <w:p>
      <w:pPr>
        <w:pStyle w:val="ListParagraph"/>
        <w:ind w:left="0" w:right="0"/>
        <w:rPr>
          <w:rFonts w:cs="Arial"/>
          <w:color w:val="E20096"/>
          <w:szCs w:val="24"/>
        </w:rPr>
      </w:pPr>
      <w:r>
        <w:rPr>
          <w:rFonts w:cs="Arial"/>
          <w:color w:val="E20096"/>
          <w:szCs w:val="24"/>
        </w:rPr>
      </w:r>
    </w:p>
    <w:p>
      <w:pPr>
        <w:pStyle w:val="Heading2"/>
        <w:ind w:hanging="0" w:left="0"/>
        <w:rPr>
          <w:lang w:val="en-US"/>
        </w:rPr>
      </w:pPr>
      <w:r>
        <w:rPr>
          <w:lang w:val="en-US"/>
        </w:rPr>
        <w:t>What we need from you</w:t>
      </w:r>
    </w:p>
    <w:p>
      <w:pPr>
        <w:pStyle w:val="ListParagraph"/>
        <w:numPr>
          <w:ilvl w:val="0"/>
          <w:numId w:val="3"/>
        </w:numPr>
        <w:ind w:hanging="360" w:left="0" w:right="0"/>
        <w:rPr/>
      </w:pPr>
      <w:r>
        <w:rPr/>
        <w:t>To model and demonstrate the council's values and behaviours: Pride, Passion, People and Personal responsibility.</w:t>
      </w:r>
    </w:p>
    <w:p>
      <w:pPr>
        <w:pStyle w:val="ListParagraph"/>
        <w:numPr>
          <w:ilvl w:val="0"/>
          <w:numId w:val="3"/>
        </w:numPr>
        <w:ind w:hanging="360" w:left="0" w:right="0"/>
        <w:rPr/>
      </w:pPr>
      <w:r>
        <w:rPr/>
        <w:t>Possess, or be working towards, a Higher National Certificate or Higher National Diploma in Civil Engineering or a closely related subject or demonstrate an equivalent level of relevant technical knowledge and experience.</w:t>
      </w:r>
    </w:p>
    <w:p>
      <w:pPr>
        <w:pStyle w:val="ListParagraph"/>
        <w:numPr>
          <w:ilvl w:val="0"/>
          <w:numId w:val="3"/>
        </w:numPr>
        <w:ind w:hanging="360" w:left="0" w:right="0"/>
        <w:rPr/>
      </w:pPr>
      <w:r>
        <w:rPr/>
        <w:t>A minimum of two years' relevant experience in the design, implementation and supervision of highway reconstruction, resurfacing or comparable highway maintenance schemes.</w:t>
      </w:r>
    </w:p>
    <w:p>
      <w:pPr>
        <w:pStyle w:val="ListParagraph"/>
        <w:numPr>
          <w:ilvl w:val="0"/>
          <w:numId w:val="3"/>
        </w:numPr>
        <w:ind w:hanging="360" w:left="0" w:right="0"/>
        <w:rPr/>
      </w:pPr>
      <w:r>
        <w:rPr/>
        <w:t>Demonstrable ability to work effectively within an engineering or highways team and contribute to accurate, timely and coordinated design outputs.</w:t>
      </w:r>
    </w:p>
    <w:p>
      <w:pPr>
        <w:pStyle w:val="ListParagraph"/>
        <w:numPr>
          <w:ilvl w:val="0"/>
          <w:numId w:val="3"/>
        </w:numPr>
        <w:ind w:hanging="360" w:left="0" w:right="0"/>
        <w:rPr/>
      </w:pPr>
      <w:r>
        <w:rPr/>
        <w:t>Experience of investigating highway maintenance problems, developing options and contributing to site measurements, cost estimates, drawings, schedules, specifications and technical or contract documentation.</w:t>
      </w:r>
    </w:p>
    <w:p>
      <w:pPr>
        <w:pStyle w:val="ListParagraph"/>
        <w:numPr>
          <w:ilvl w:val="0"/>
          <w:numId w:val="3"/>
        </w:numPr>
        <w:ind w:hanging="360" w:left="0" w:right="0"/>
        <w:rPr/>
      </w:pPr>
      <w:r>
        <w:rPr/>
        <w:t>An appreciation of relevant legislation, standards, guidance and procedures, including the Design Manual for Roads and Bridges, British and European Standards, Eurocodes, Codes of Practice, health and safety legislation and the Construction (Design and Management) Regulations, as applicable to the work.</w:t>
      </w:r>
    </w:p>
    <w:p>
      <w:pPr>
        <w:pStyle w:val="ListParagraph"/>
        <w:numPr>
          <w:ilvl w:val="0"/>
          <w:numId w:val="3"/>
        </w:numPr>
        <w:ind w:hanging="360" w:left="0" w:right="0"/>
        <w:rPr/>
      </w:pPr>
      <w:r>
        <w:rPr/>
        <w:t>Working capability in AutoCAD for the preparation of designs and drawings, or a clear willingness and ability to develop this capability, together with confidence in using relevant digital and record-management systems.</w:t>
      </w:r>
    </w:p>
    <w:p>
      <w:pPr>
        <w:pStyle w:val="ListParagraph"/>
        <w:numPr>
          <w:ilvl w:val="0"/>
          <w:numId w:val="3"/>
        </w:numPr>
        <w:ind w:hanging="360" w:left="0" w:right="0"/>
        <w:rPr/>
      </w:pPr>
      <w:r>
        <w:rPr/>
        <w:t>Proven technical ability, sound analytical skills and attention to detail, with the initiative and ingenuity to solve problems and seek practical, outcomes-focused solutions.</w:t>
      </w:r>
    </w:p>
    <w:p>
      <w:pPr>
        <w:pStyle w:val="ListParagraph"/>
        <w:numPr>
          <w:ilvl w:val="0"/>
          <w:numId w:val="3"/>
        </w:numPr>
        <w:ind w:hanging="360" w:left="0" w:right="0"/>
        <w:rPr/>
      </w:pPr>
      <w:r>
        <w:rPr/>
        <w:t>Ability to organise workload, set and work to personal deadlines and targets, manage competing priorities and contribute reliably to programmes of work.</w:t>
      </w:r>
    </w:p>
    <w:p>
      <w:pPr>
        <w:pStyle w:val="ListParagraph"/>
        <w:numPr>
          <w:ilvl w:val="0"/>
          <w:numId w:val="3"/>
        </w:numPr>
        <w:ind w:hanging="360" w:left="0" w:right="0"/>
        <w:rPr/>
      </w:pPr>
      <w:r>
        <w:rPr/>
        <w:t>Good written and verbal communication skills, with the ability to explain technical information clearly and work constructively with colleagues, contractors, stakeholders and members of the public.</w:t>
      </w:r>
    </w:p>
    <w:p>
      <w:pPr>
        <w:pStyle w:val="ListParagraph"/>
        <w:numPr>
          <w:ilvl w:val="0"/>
          <w:numId w:val="3"/>
        </w:numPr>
        <w:ind w:hanging="360" w:left="0" w:right="0"/>
        <w:rPr/>
      </w:pPr>
      <w:r>
        <w:rPr/>
        <w:t>Professional credibility gained through relevant experience in a highway design and delivery environment, demonstrating confidence, integrity and personal responsibility for actions and advice.</w:t>
      </w:r>
    </w:p>
    <w:p>
      <w:pPr>
        <w:pStyle w:val="ListParagraph"/>
        <w:numPr>
          <w:ilvl w:val="0"/>
          <w:numId w:val="3"/>
        </w:numPr>
        <w:ind w:hanging="360" w:left="0" w:right="0"/>
        <w:rPr/>
      </w:pPr>
      <w:r>
        <w:rPr/>
        <w:t>A constructive and diplomatic approach: open to the views of others, able to challenge and be challenged appropriately, and capable of building rapport, trust and confidence.</w:t>
      </w:r>
    </w:p>
    <w:p>
      <w:pPr>
        <w:pStyle w:val="ListParagraph"/>
        <w:numPr>
          <w:ilvl w:val="0"/>
          <w:numId w:val="3"/>
        </w:numPr>
        <w:ind w:hanging="360" w:left="0" w:right="0"/>
        <w:rPr/>
      </w:pPr>
      <w:r>
        <w:rPr/>
        <w:t>Curiosity and awareness of the wider organisational and local context, with the ability to translate broader requirements into practical service-level action.</w:t>
      </w:r>
    </w:p>
    <w:p>
      <w:pPr>
        <w:pStyle w:val="ListParagraph"/>
        <w:numPr>
          <w:ilvl w:val="0"/>
          <w:numId w:val="3"/>
        </w:numPr>
        <w:ind w:hanging="360" w:left="0" w:right="0"/>
        <w:rPr/>
      </w:pPr>
      <w:r>
        <w:rPr/>
        <w:t>Determination and resilience, remaining positive in challenging circumstances and persisting with appropriate action to achieve agreed outcomes.</w:t>
      </w:r>
    </w:p>
    <w:p>
      <w:pPr>
        <w:pStyle w:val="ListParagraph"/>
        <w:numPr>
          <w:ilvl w:val="0"/>
          <w:numId w:val="3"/>
        </w:numPr>
        <w:ind w:hanging="360" w:left="0" w:right="0"/>
        <w:rPr/>
      </w:pPr>
      <w:r>
        <w:rPr/>
        <w:t>Commitment to continuing professional development, learning new systems and methods, sharing knowledge and supporting continuous improvement in the service.</w:t>
      </w:r>
    </w:p>
    <w:p>
      <w:pPr>
        <w:pStyle w:val="Heading2"/>
        <w:spacing w:before="240" w:after="120"/>
        <w:ind w:hanging="0" w:left="0"/>
        <w:rPr>
          <w:lang w:val="en-US"/>
        </w:rPr>
      </w:pPr>
      <w:r>
        <w:rPr>
          <w:lang w:val="en-US"/>
        </w:rPr>
      </w:r>
    </w:p>
    <w:p>
      <w:pPr>
        <w:pStyle w:val="Heading2"/>
        <w:spacing w:before="240" w:after="120"/>
        <w:ind w:hanging="0" w:left="0"/>
        <w:rPr>
          <w:lang w:val="en-US"/>
        </w:rPr>
      </w:pPr>
      <w:r>
        <w:rPr>
          <w:lang w:val="en-US"/>
        </w:rPr>
        <w:t>What we can offer you</w:t>
      </w:r>
    </w:p>
    <w:p>
      <w:pPr>
        <w:pStyle w:val="Normal"/>
        <w:spacing w:before="0" w:after="0"/>
        <w:rPr/>
      </w:pPr>
      <w:r>
        <w:rPr/>
        <w:t>Your ongoing professional development and success in your role is important to us, and that is why we provide a variety of learning and development opportunities. Within the sections below you will find development options tailored to you which will enable you to further develop your existing skills and learn new ones at a pace that suits you best. If you are joining us now, your development will form part of ongoing discussions with your manager. If you are an existing employee, you should use your Personal Development Reviews to discuss your development with your manager and create your development journey. It’s important you also take full advantage of any informal learning available to you during the course of your work.</w:t>
      </w:r>
    </w:p>
    <w:p>
      <w:pPr>
        <w:pStyle w:val="Normal"/>
        <w:spacing w:before="0" w:after="0"/>
        <w:rPr/>
      </w:pPr>
      <w:r>
        <w:rPr/>
      </w:r>
    </w:p>
    <w:p>
      <w:pPr>
        <w:pStyle w:val="Normal"/>
        <w:spacing w:before="0" w:after="0"/>
        <w:rPr>
          <w:b/>
          <w:bCs/>
        </w:rPr>
      </w:pPr>
      <w:r>
        <w:rPr>
          <w:b/>
          <w:bCs/>
        </w:rPr>
        <w:t xml:space="preserve">Online learning </w:t>
      </w:r>
    </w:p>
    <w:p>
      <w:pPr>
        <w:pStyle w:val="Normal"/>
        <w:spacing w:before="0" w:after="0"/>
        <w:rPr/>
      </w:pPr>
      <w:r>
        <w:rPr/>
        <w:t>Develop your knowledge across a wide range of areas through our Me-Learning platform, with over 200 free courses to choose from. To have the best possible start and comply with current legislation, you must complete the following modules: Welcome to Salford, Health and Safety in the Office, GDPR, Equality Essentials, and Safeguarding Children and Adults. You may also benefit from a variety of courses in categories such as Business Skills, IT and Project Management which are available to learn at your own convenience and pace.</w:t>
      </w:r>
    </w:p>
    <w:p>
      <w:pPr>
        <w:pStyle w:val="Normal"/>
        <w:spacing w:before="0" w:after="0"/>
        <w:rPr>
          <w:b/>
          <w:bCs/>
        </w:rPr>
      </w:pPr>
      <w:r>
        <w:rPr>
          <w:b/>
          <w:bCs/>
        </w:rPr>
      </w:r>
    </w:p>
    <w:p>
      <w:pPr>
        <w:pStyle w:val="Normal"/>
        <w:spacing w:before="0" w:after="0"/>
        <w:rPr>
          <w:b/>
          <w:bCs/>
        </w:rPr>
      </w:pPr>
      <w:r>
        <w:rPr>
          <w:b/>
          <w:bCs/>
        </w:rPr>
        <w:t>Professional Development</w:t>
      </w:r>
    </w:p>
    <w:p>
      <w:pPr>
        <w:pStyle w:val="Normal"/>
        <w:spacing w:before="0" w:after="0"/>
        <w:rPr/>
      </w:pPr>
      <w:r>
        <w:rPr/>
        <w:t xml:space="preserve">Gain role specific skills and time to learn through a wide range of development opportunities. Learn whilst working and get support towards your qualification through an apprenticeship standard. Access professional development ranging from entry level to master’s type qualifications, including achieving a role appropriate qualification. Details can be found on </w:t>
      </w:r>
      <w:r>
        <w:rPr>
          <w:rStyle w:val="Hyperlink"/>
        </w:rPr>
        <w:t>the Institute of apprenticeships</w:t>
      </w:r>
      <w:r>
        <w:rPr/>
        <w:t xml:space="preserve"> website.</w:t>
      </w:r>
    </w:p>
    <w:p>
      <w:pPr>
        <w:pStyle w:val="Normal"/>
        <w:spacing w:before="0" w:after="0"/>
        <w:rPr/>
      </w:pPr>
      <w:r>
        <w:rPr/>
      </w:r>
    </w:p>
    <w:p>
      <w:pPr>
        <w:pStyle w:val="Normal"/>
        <w:spacing w:before="0" w:after="0"/>
        <w:rPr>
          <w:b/>
          <w:bCs/>
        </w:rPr>
      </w:pPr>
      <w:r>
        <w:rPr>
          <w:b/>
          <w:bCs/>
        </w:rPr>
        <w:t>Tailored Development</w:t>
      </w:r>
    </w:p>
    <w:p>
      <w:pPr>
        <w:pStyle w:val="Normal"/>
        <w:spacing w:before="120" w:after="120"/>
        <w:rPr/>
      </w:pPr>
      <w:r>
        <w:rPr/>
        <w:t>Role-specific development may include highway design and asset management systems, AutoCAD, contract administration, site supervision, health and safety and CDM responsibilities, procurement, and support towards an appropriate civil engineering qualification or professional membership.</w:t>
      </w:r>
    </w:p>
    <w:p>
      <w:pPr>
        <w:pStyle w:val="Normal"/>
        <w:spacing w:before="120" w:after="120"/>
        <w:rPr>
          <w:b/>
          <w:bCs/>
        </w:rPr>
      </w:pPr>
      <w:r>
        <w:rPr>
          <w:b/>
          <w:bCs/>
        </w:rPr>
      </w:r>
    </w:p>
    <w:p>
      <w:pPr>
        <w:pStyle w:val="Normal"/>
        <w:spacing w:before="120" w:after="120"/>
        <w:rPr>
          <w:rFonts w:eastAsia="" w:cs="Times New Roman"/>
          <w:b/>
          <w:color w:val="E30478"/>
          <w:sz w:val="28"/>
          <w:szCs w:val="24"/>
        </w:rPr>
      </w:pPr>
      <w:r>
        <w:rPr>
          <w:rFonts w:eastAsia="" w:cs="Times New Roman"/>
          <w:b/>
          <w:color w:val="E30478"/>
          <w:sz w:val="28"/>
          <w:szCs w:val="24"/>
        </w:rPr>
        <w:t>A digital organisation</w:t>
      </w:r>
    </w:p>
    <w:p>
      <w:pPr>
        <w:pStyle w:val="Normal"/>
        <w:spacing w:before="0" w:after="0"/>
        <w:rPr>
          <w:b/>
          <w:bCs/>
        </w:rPr>
      </w:pPr>
      <w:r>
        <w:rPr>
          <w:b/>
          <w:bCs/>
        </w:rPr>
        <w:t>Developing your digital skills</w:t>
      </w:r>
    </w:p>
    <w:p>
      <w:pPr>
        <w:pStyle w:val="Normal"/>
        <w:spacing w:before="0" w:after="0"/>
        <w:rPr/>
      </w:pPr>
      <w:r>
        <w:rPr/>
        <w:t xml:space="preserve">Our ambition is to provide our workforce with the right level of digital capabilities needed to be successful. Whatever your current digital abilities are, we can provide development ranging from essential workplace skills to specialist workplace skills. These will be delivered through our Digital Skills Academy using both self-directed and guided learning opportunities to enable you to develop. Additionally, you can access free online courses through the </w:t>
      </w:r>
      <w:r>
        <w:rPr>
          <w:rStyle w:val="Hyperlink"/>
        </w:rPr>
        <w:t>iDea website</w:t>
      </w:r>
      <w:r>
        <w:rPr/>
        <w:t>.</w:t>
      </w:r>
    </w:p>
    <w:p>
      <w:pPr>
        <w:pStyle w:val="Normal"/>
        <w:spacing w:before="0" w:after="0"/>
        <w:rPr/>
      </w:pPr>
      <w:r>
        <w:rPr/>
      </w:r>
    </w:p>
    <w:p>
      <w:pPr>
        <w:pStyle w:val="Normal"/>
        <w:spacing w:before="0" w:after="0"/>
        <w:rPr>
          <w:b/>
          <w:bCs/>
        </w:rPr>
      </w:pPr>
      <w:r>
        <w:rPr>
          <w:b/>
          <w:bCs/>
        </w:rPr>
        <w:t>Sharing your digital skills</w:t>
      </w:r>
    </w:p>
    <w:p>
      <w:pPr>
        <w:pStyle w:val="Normal"/>
        <w:spacing w:before="0" w:after="0"/>
        <w:rPr/>
      </w:pPr>
      <w:r>
        <w:rPr/>
        <w:t>Our goal is to support you to share your digital knowledge with other people. Our Digital Eagles programme has been designed to cover basic digital skills and build your confidence to assist others. By the end of this programme you will join hundreds of staff members who already are digital eagles, and be able to help colleagues, customers, residents, or people in your personal life with all things digital.</w:t>
      </w:r>
    </w:p>
    <w:p>
      <w:pPr>
        <w:pStyle w:val="Normal"/>
        <w:spacing w:before="0" w:after="0"/>
        <w:rPr/>
      </w:pPr>
      <w:r>
        <w:rPr/>
      </w:r>
    </w:p>
    <w:p>
      <w:pPr>
        <w:pStyle w:val="Heading2"/>
        <w:ind w:hanging="0" w:left="0"/>
        <w:rPr>
          <w:lang w:val="en-US"/>
        </w:rPr>
      </w:pPr>
      <w:r>
        <w:rPr>
          <w:lang w:val="en-US"/>
        </w:rPr>
        <w:t>Our organisation’s values</w:t>
      </w:r>
    </w:p>
    <w:p>
      <w:pPr>
        <w:pStyle w:val="Normal"/>
        <w:rPr>
          <w:b/>
          <w:bCs/>
          <w:lang w:val="en-US"/>
        </w:rPr>
      </w:pPr>
      <w:r>
        <w:rPr>
          <w:b/>
          <w:bCs/>
          <w:lang w:val="en-US"/>
        </w:rPr>
        <w:t>We have four values: Pride, Passion, People, Personal responsibility.</w:t>
      </w:r>
    </w:p>
    <w:p>
      <w:pPr>
        <w:pStyle w:val="Normal"/>
        <w:rPr/>
      </w:pPr>
      <w:r>
        <w:rPr>
          <w:rStyle w:val="Hyperlink"/>
          <w:rFonts w:cs="Arial"/>
          <w:szCs w:val="24"/>
        </w:rPr>
        <w:t>Our four values</w:t>
      </w:r>
      <w:r>
        <w:rPr>
          <w:rFonts w:cs="Arial"/>
          <w:szCs w:val="24"/>
        </w:rPr>
        <w:t xml:space="preserve"> are central to the way we communicate about the council and the way in which we behave with colleagues, customers, and partners - so that we live and breathe our values each day.</w:t>
      </w:r>
    </w:p>
    <w:p>
      <w:pPr>
        <w:pStyle w:val="Normal"/>
        <w:spacing w:before="0" w:after="0"/>
        <w:rPr>
          <w:rFonts w:cs="Arial"/>
          <w:szCs w:val="24"/>
          <w:lang w:val="en-US"/>
        </w:rPr>
      </w:pPr>
      <w:r>
        <w:rPr>
          <w:rFonts w:cs="Arial"/>
          <w:szCs w:val="24"/>
          <w:lang w:val="en-US"/>
        </w:rPr>
      </w:r>
    </w:p>
    <w:p>
      <w:pPr>
        <w:pStyle w:val="Normal"/>
        <w:spacing w:before="0" w:after="0"/>
        <w:rPr>
          <w:lang w:val="en-US"/>
        </w:rPr>
      </w:pPr>
      <w:r>
        <w:rPr/>
        <w:drawing>
          <wp:inline distT="0" distB="0" distL="0" distR="0">
            <wp:extent cx="5732780" cy="179959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8" t="-25" r="-8" b="-25"/>
                    <a:stretch>
                      <a:fillRect/>
                    </a:stretch>
                  </pic:blipFill>
                  <pic:spPr bwMode="auto">
                    <a:xfrm>
                      <a:off x="0" y="0"/>
                      <a:ext cx="5732780" cy="1799590"/>
                    </a:xfrm>
                    <a:prstGeom prst="rect">
                      <a:avLst/>
                    </a:prstGeom>
                  </pic:spPr>
                </pic:pic>
              </a:graphicData>
            </a:graphic>
          </wp:inline>
        </w:drawing>
      </w:r>
    </w:p>
    <w:p>
      <w:pPr>
        <w:pStyle w:val="Heading2"/>
        <w:ind w:hanging="0" w:left="0"/>
        <w:rPr>
          <w:lang w:val="en-US"/>
        </w:rPr>
      </w:pPr>
      <w:r>
        <w:rPr>
          <w:lang w:val="en-US"/>
        </w:rPr>
        <w:t>Application guidance</w:t>
      </w:r>
    </w:p>
    <w:p>
      <w:pPr>
        <w:pStyle w:val="Normal"/>
        <w:rPr/>
      </w:pPr>
      <w:r>
        <w:rPr/>
        <w:t>We are a values-based organisation so reflecting our values or a values-based approach in your evidence will support your application.</w:t>
      </w:r>
    </w:p>
    <w:p>
      <w:pPr>
        <w:pStyle w:val="Normal"/>
        <w:rPr/>
      </w:pPr>
      <w:r>
        <w:rPr/>
        <w:t xml:space="preserve">The different sections of this role profile are there to give you an understanding of the purpose of the role. The ‘what we need from you’ section outlines the minimum criteria you will need to meet within your application. </w:t>
      </w:r>
    </w:p>
    <w:p>
      <w:pPr>
        <w:pStyle w:val="Normal"/>
        <w:spacing w:before="0" w:after="240"/>
        <w:rPr/>
      </w:pPr>
      <w:r>
        <w:rPr/>
      </w:r>
    </w:p>
    <w:p>
      <w:pPr>
        <w:pStyle w:val="Heading3"/>
        <w:spacing w:before="120" w:after="120"/>
        <w:ind w:hanging="0" w:left="0"/>
        <w:rPr/>
      </w:pPr>
      <w:r>
        <w:rPr/>
        <w:t>Role details</w:t>
      </w:r>
    </w:p>
    <w:p>
      <w:pPr>
        <w:pStyle w:val="Normal"/>
        <w:spacing w:before="0" w:after="120"/>
        <w:rPr/>
      </w:pPr>
      <w:r>
        <w:rPr/>
        <w:t>Completed by: Ali Qureshi</w:t>
      </w:r>
    </w:p>
    <w:p>
      <w:pPr>
        <w:pStyle w:val="Normal"/>
        <w:spacing w:before="0" w:after="120"/>
        <w:rPr/>
      </w:pPr>
      <w:r>
        <w:rPr/>
        <w:t>Date: 12</w:t>
      </w:r>
      <w:r>
        <w:rPr>
          <w:vertAlign w:val="superscript"/>
        </w:rPr>
        <w:t>th</w:t>
      </w:r>
      <w:r>
        <w:rPr/>
        <w:t xml:space="preserve"> August 2026</w:t>
      </w:r>
    </w:p>
    <w:p>
      <w:pPr>
        <w:pStyle w:val="Normal"/>
        <w:spacing w:before="0" w:after="120"/>
        <w:rPr/>
      </w:pPr>
      <w:r>
        <w:rPr/>
        <w:t xml:space="preserve">Job code: </w:t>
      </w:r>
    </w:p>
    <w:p>
      <w:pPr>
        <w:pStyle w:val="Normal"/>
        <w:spacing w:before="0" w:after="120"/>
        <w:rPr/>
      </w:pPr>
      <w:r>
        <w:rPr/>
        <w:t xml:space="preserve">Job score: </w:t>
      </w:r>
    </w:p>
    <w:p>
      <w:pPr>
        <w:pStyle w:val="Normal"/>
        <w:spacing w:before="0" w:after="120"/>
        <w:rPr/>
      </w:pPr>
      <w:r>
        <w:rPr/>
        <w:t xml:space="preserve">Date of evaluation: </w:t>
      </w:r>
    </w:p>
    <w:p>
      <w:pPr>
        <w:pStyle w:val="Normal"/>
        <w:spacing w:before="0" w:after="0"/>
        <w:rPr>
          <w:rFonts w:cs="Arial"/>
          <w:szCs w:val="24"/>
          <w:lang w:val="en-US"/>
        </w:rPr>
      </w:pPr>
      <w:r>
        <w:rPr>
          <w:rFonts w:cs="Arial"/>
          <w:szCs w:val="24"/>
          <w:lang w:val="en-US"/>
        </w:rPr>
      </w:r>
    </w:p>
    <w:p>
      <w:pPr>
        <w:pStyle w:val="Normal"/>
        <w:spacing w:before="0" w:after="0"/>
        <w:rPr>
          <w:rFonts w:cs="Arial"/>
          <w:szCs w:val="24"/>
          <w:lang w:val="en-US"/>
        </w:rPr>
      </w:pPr>
      <w:r>
        <w:rPr>
          <w:rFonts w:cs="Arial"/>
          <w:szCs w:val="24"/>
          <w:lang w:val="en-US"/>
        </w:rPr>
      </w:r>
    </w:p>
    <w:sectPr>
      <w:headerReference w:type="default" r:id="rId3"/>
      <w:headerReference w:type="first" r:id="rId4"/>
      <w:footerReference w:type="default" r:id="rId5"/>
      <w:footerReference w:type="first" r:id="rId6"/>
      <w:type w:val="nextPage"/>
      <w:pgSz w:w="11906" w:h="16838"/>
      <w:pgMar w:left="1134" w:right="991" w:gutter="0" w:header="709" w:top="1440" w:footer="48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Light">
    <w:charset w:val="01"/>
    <w:family w:val="swiss"/>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425"/>
      <w:jc w:val="right"/>
      <w:rPr/>
    </w:pPr>
    <w:r>
      <w:rPr/>
      <mc:AlternateContent>
        <mc:Choice Requires="wps">
          <w:drawing>
            <wp:inline distT="0" distB="0" distL="0" distR="0">
              <wp:extent cx="1628775" cy="342265"/>
              <wp:effectExtent l="0" t="0" r="0" b="0"/>
              <wp:docPr id="3"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rFonts w:eastAsia="Arial"/>
      </w:rPr>
      <w:t xml:space="preserve"> </w:t>
    </w:r>
    <w:r>
      <w:rPr/>
      <w:drawing>
        <wp:inline distT="0" distB="0" distL="0" distR="0">
          <wp:extent cx="2729865" cy="656590"/>
          <wp:effectExtent l="0" t="0" r="0" b="0"/>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2"/>
                  <a:srcRect l="-14" t="-56" r="-14" b="-56"/>
                  <a:stretch>
                    <a:fillRect/>
                  </a:stretch>
                </pic:blipFill>
                <pic:spPr bwMode="auto">
                  <a:xfrm>
                    <a:off x="0" y="0"/>
                    <a:ext cx="2729865" cy="656590"/>
                  </a:xfrm>
                  <a:prstGeom prst="rect">
                    <a:avLst/>
                  </a:prstGeom>
                </pic:spPr>
              </pic:pic>
            </a:graphicData>
          </a:graphic>
        </wp:inline>
      </w:drawing>
    </w:r>
    <w:r>
      <mc:AlternateContent>
        <mc:Choice Requires="wps">
          <w:drawing>
            <wp:anchor behindDoc="1" distT="72390" distB="72390" distL="72390" distR="72390" simplePos="0" locked="0" layoutInCell="1" allowOverlap="1" relativeHeight="22">
              <wp:simplePos x="0" y="0"/>
              <wp:positionH relativeFrom="column">
                <wp:posOffset>1637665</wp:posOffset>
              </wp:positionH>
              <wp:positionV relativeFrom="paragraph">
                <wp:posOffset>-20807680</wp:posOffset>
              </wp:positionV>
              <wp:extent cx="1628775" cy="251460"/>
              <wp:effectExtent l="0" t="0" r="0" b="0"/>
              <wp:wrapNone/>
              <wp:docPr id="6" name="Frame3"/>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1638.4pt;mso-position-vertical-relative:text;margin-left:128.95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27">
              <wp:simplePos x="0" y="0"/>
              <wp:positionH relativeFrom="column">
                <wp:posOffset>0</wp:posOffset>
              </wp:positionH>
              <wp:positionV relativeFrom="paragraph">
                <wp:align>top</wp:align>
              </wp:positionV>
              <wp:extent cx="1628775" cy="251460"/>
              <wp:effectExtent l="0" t="0" r="0" b="0"/>
              <wp:wrapNone/>
              <wp:docPr id="7" name="Frame4"/>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1">
              <wp:simplePos x="0" y="0"/>
              <wp:positionH relativeFrom="column">
                <wp:posOffset>0</wp:posOffset>
              </wp:positionH>
              <wp:positionV relativeFrom="paragraph">
                <wp:align>top</wp:align>
              </wp:positionV>
              <wp:extent cx="1628775" cy="251460"/>
              <wp:effectExtent l="0" t="0" r="0" b="0"/>
              <wp:wrapNone/>
              <wp:docPr id="8" name="Frame5"/>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5">
              <wp:simplePos x="0" y="0"/>
              <wp:positionH relativeFrom="column">
                <wp:posOffset>0</wp:posOffset>
              </wp:positionH>
              <wp:positionV relativeFrom="paragraph">
                <wp:align>top</wp:align>
              </wp:positionV>
              <wp:extent cx="1628775" cy="251460"/>
              <wp:effectExtent l="0" t="0" r="0" b="0"/>
              <wp:wrapNone/>
              <wp:docPr id="9" name="Frame6"/>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9">
              <wp:simplePos x="0" y="0"/>
              <wp:positionH relativeFrom="column">
                <wp:posOffset>0</wp:posOffset>
              </wp:positionH>
              <wp:positionV relativeFrom="paragraph">
                <wp:align>top</wp:align>
              </wp:positionV>
              <wp:extent cx="1628775" cy="251460"/>
              <wp:effectExtent l="0" t="0" r="0" b="0"/>
              <wp:wrapNone/>
              <wp:docPr id="10" name="Frame7"/>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3">
              <wp:simplePos x="0" y="0"/>
              <wp:positionH relativeFrom="column">
                <wp:posOffset>0</wp:posOffset>
              </wp:positionH>
              <wp:positionV relativeFrom="paragraph">
                <wp:align>top</wp:align>
              </wp:positionV>
              <wp:extent cx="1628775" cy="251460"/>
              <wp:effectExtent l="0" t="0" r="0" b="0"/>
              <wp:wrapNone/>
              <wp:docPr id="11" name="Frame8"/>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7">
              <wp:simplePos x="0" y="0"/>
              <wp:positionH relativeFrom="column">
                <wp:posOffset>0</wp:posOffset>
              </wp:positionH>
              <wp:positionV relativeFrom="paragraph">
                <wp:align>top</wp:align>
              </wp:positionV>
              <wp:extent cx="1628775" cy="251460"/>
              <wp:effectExtent l="0" t="0" r="0" b="0"/>
              <wp:wrapNone/>
              <wp:docPr id="12" name="Frame9"/>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1">
              <wp:simplePos x="0" y="0"/>
              <wp:positionH relativeFrom="column">
                <wp:posOffset>0</wp:posOffset>
              </wp:positionH>
              <wp:positionV relativeFrom="paragraph">
                <wp:align>top</wp:align>
              </wp:positionV>
              <wp:extent cx="1628775" cy="251460"/>
              <wp:effectExtent l="0" t="0" r="0" b="0"/>
              <wp:wrapNone/>
              <wp:docPr id="13" name="Frame10"/>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5">
              <wp:simplePos x="0" y="0"/>
              <wp:positionH relativeFrom="column">
                <wp:posOffset>0</wp:posOffset>
              </wp:positionH>
              <wp:positionV relativeFrom="paragraph">
                <wp:align>top</wp:align>
              </wp:positionV>
              <wp:extent cx="1628775" cy="251460"/>
              <wp:effectExtent l="0" t="0" r="0" b="0"/>
              <wp:wrapNone/>
              <wp:docPr id="14" name="Frame11"/>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9">
              <wp:simplePos x="0" y="0"/>
              <wp:positionH relativeFrom="column">
                <wp:posOffset>0</wp:posOffset>
              </wp:positionH>
              <wp:positionV relativeFrom="paragraph">
                <wp:align>top</wp:align>
              </wp:positionV>
              <wp:extent cx="1628775" cy="251460"/>
              <wp:effectExtent l="0" t="0" r="0" b="0"/>
              <wp:wrapNone/>
              <wp:docPr id="15" name="Frame1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284"/>
      <w:jc w:val="right"/>
      <w:rPr/>
    </w:pPr>
    <w:r>
      <w:rPr/>
      <mc:AlternateContent>
        <mc:Choice Requires="wps">
          <w:drawing>
            <wp:inline distT="0" distB="0" distL="0" distR="0">
              <wp:extent cx="1628775" cy="342265"/>
              <wp:effectExtent l="0" t="0" r="0" b="0"/>
              <wp:docPr id="16"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1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drawing>
        <wp:inline distT="0" distB="0" distL="0" distR="0">
          <wp:extent cx="2731135" cy="658495"/>
          <wp:effectExtent l="0" t="0" r="0" b="0"/>
          <wp:docPr id="1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 descr=""/>
                  <pic:cNvPicPr>
                    <a:picLocks noChangeAspect="1" noChangeArrowheads="1"/>
                  </pic:cNvPicPr>
                </pic:nvPicPr>
                <pic:blipFill>
                  <a:blip r:embed="rId2"/>
                  <a:srcRect l="-13" t="-55" r="-13" b="-55"/>
                  <a:stretch>
                    <a:fillRect/>
                  </a:stretch>
                </pic:blipFill>
                <pic:spPr bwMode="auto">
                  <a:xfrm>
                    <a:off x="0" y="0"/>
                    <a:ext cx="2731135" cy="658495"/>
                  </a:xfrm>
                  <a:prstGeom prst="rect">
                    <a:avLst/>
                  </a:prstGeom>
                </pic:spPr>
              </pic:pic>
            </a:graphicData>
          </a:graphic>
        </wp:inline>
      </w:drawing>
    </w:r>
    <w:r>
      <mc:AlternateContent>
        <mc:Choice Requires="wps">
          <w:drawing>
            <wp:anchor behindDoc="1" distT="72390" distB="72390" distL="72390" distR="72390" simplePos="0" locked="0" layoutInCell="1" allowOverlap="1" relativeHeight="23">
              <wp:simplePos x="0" y="0"/>
              <wp:positionH relativeFrom="column">
                <wp:posOffset>1590040</wp:posOffset>
              </wp:positionH>
              <wp:positionV relativeFrom="paragraph">
                <wp:posOffset>314960</wp:posOffset>
              </wp:positionV>
              <wp:extent cx="1628775" cy="251460"/>
              <wp:effectExtent l="0" t="0" r="0" b="0"/>
              <wp:wrapNone/>
              <wp:docPr id="19" name="Frame1"/>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24.8pt;mso-position-vertical-relative:text;margin-left:125.2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60">
              <wp:simplePos x="0" y="0"/>
              <wp:positionH relativeFrom="column">
                <wp:posOffset>0</wp:posOffset>
              </wp:positionH>
              <wp:positionV relativeFrom="paragraph">
                <wp:align>top</wp:align>
              </wp:positionV>
              <wp:extent cx="1628775" cy="251460"/>
              <wp:effectExtent l="0" t="0" r="0" b="0"/>
              <wp:wrapNone/>
              <wp:docPr id="20" name="Frame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left" w:pos="6300" w:leader="none"/>
      </w:tabs>
      <w:rPr/>
    </w:pPr>
    <w:r>
      <w:rPr/>
      <w:drawing>
        <wp:anchor behindDoc="1" distT="0" distB="0" distL="0" distR="0" simplePos="0" locked="0" layoutInCell="0" allowOverlap="1" relativeHeight="18">
          <wp:simplePos x="0" y="0"/>
          <wp:positionH relativeFrom="margin">
            <wp:align>center</wp:align>
          </wp:positionH>
          <wp:positionV relativeFrom="paragraph">
            <wp:posOffset>-436880</wp:posOffset>
          </wp:positionV>
          <wp:extent cx="7559675" cy="90106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6" t="13249" r="-6" b="17337"/>
                  <a:stretch>
                    <a:fillRect/>
                  </a:stretch>
                </pic:blipFill>
                <pic:spPr bwMode="auto">
                  <a:xfrm>
                    <a:off x="0" y="0"/>
                    <a:ext cx="7559675" cy="901065"/>
                  </a:xfrm>
                  <a:prstGeom prst="rect">
                    <a:avLst/>
                  </a:prstGeom>
                </pic:spPr>
              </pic:pic>
            </a:graphicData>
          </a:graphic>
        </wp:anchor>
      </w:drawing>
    </w:r>
  </w:p>
  <w:p>
    <w:pPr>
      <w:pStyle w:val="Header"/>
      <w:tabs>
        <w:tab w:val="clear" w:pos="4513"/>
        <w:tab w:val="clear" w:pos="9026"/>
        <w:tab w:val="left" w:pos="6300" w:leader="none"/>
      </w:tabs>
      <w:rPr/>
    </w:pPr>
    <w:r>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color w:val="EC009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800" w:hanging="720"/>
      </w:pPr>
      <w:rPr>
        <w:rFonts w:ascii="Calibri Light" w:hAnsi="Calibri Light" w:cs="Calibri Light"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6"/>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rial" w:hAnsi="Arial" w:eastAsia="Calibri" w:cs="Arial"/>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before="1200" w:after="400"/>
      <w:outlineLvl w:val="0"/>
    </w:pPr>
    <w:rPr>
      <w:rFonts w:eastAsia="" w:cs="Times New Roman"/>
      <w:b/>
      <w:sz w:val="60"/>
      <w:szCs w:val="32"/>
    </w:rPr>
  </w:style>
  <w:style w:type="paragraph" w:styleId="Heading2">
    <w:name w:val="Heading 2"/>
    <w:basedOn w:val="Normal"/>
    <w:next w:val="Normal"/>
    <w:qFormat/>
    <w:pPr>
      <w:keepNext w:val="true"/>
      <w:keepLines/>
      <w:numPr>
        <w:ilvl w:val="1"/>
        <w:numId w:val="1"/>
      </w:numPr>
      <w:pBdr>
        <w:bottom w:val="single" w:sz="2" w:space="1" w:color="000000"/>
      </w:pBdr>
      <w:spacing w:before="240" w:after="240"/>
      <w:outlineLvl w:val="1"/>
    </w:pPr>
    <w:rPr>
      <w:rFonts w:eastAsia="" w:cs="Times New Roman"/>
      <w:b/>
      <w:color w:val="E30478"/>
      <w:sz w:val="40"/>
      <w:szCs w:val="26"/>
    </w:rPr>
  </w:style>
  <w:style w:type="paragraph" w:styleId="Heading3">
    <w:name w:val="Heading 3"/>
    <w:basedOn w:val="Normal"/>
    <w:next w:val="Normal"/>
    <w:qFormat/>
    <w:pPr>
      <w:keepNext w:val="true"/>
      <w:keepLines/>
      <w:numPr>
        <w:ilvl w:val="2"/>
        <w:numId w:val="1"/>
      </w:numPr>
      <w:spacing w:before="240" w:after="240"/>
      <w:outlineLvl w:val="2"/>
    </w:pPr>
    <w:rPr>
      <w:rFonts w:eastAsia="" w:cs="Times New Roman"/>
      <w:b/>
      <w:color w:val="E30478"/>
      <w:sz w:val="28"/>
      <w:szCs w:val="24"/>
    </w:rPr>
  </w:style>
  <w:style w:type="paragraph" w:styleId="Heading4">
    <w:name w:val="Heading 4"/>
    <w:basedOn w:val="Normal"/>
    <w:next w:val="Normal"/>
    <w:qFormat/>
    <w:pPr>
      <w:keepNext w:val="true"/>
      <w:keepLines/>
      <w:numPr>
        <w:ilvl w:val="3"/>
        <w:numId w:val="1"/>
      </w:numPr>
      <w:spacing w:before="240" w:after="240"/>
      <w:outlineLvl w:val="3"/>
    </w:pPr>
    <w:rPr>
      <w:rFonts w:eastAsia="" w:cs="Times New Roman"/>
      <w:b/>
      <w:iCs/>
    </w:rPr>
  </w:style>
  <w:style w:type="character" w:styleId="WW8Num1z0">
    <w:name w:val="WW8Num1z0"/>
    <w:qFormat/>
    <w:rPr>
      <w:rFonts w:ascii="Symbol" w:hAnsi="Symbol" w:cs="Symbol"/>
      <w:color w:val="EC0096"/>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alibri Light" w:hAnsi="Calibri Light" w:cs="Calibri Light"/>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DefaultParagraphFont">
    <w:name w:val="Default Paragraph Font"/>
    <w:qFormat/>
    <w:rPr/>
  </w:style>
  <w:style w:type="character" w:styleId="Heading1Char">
    <w:name w:val="Heading 1 Char"/>
    <w:basedOn w:val="DefaultParagraphFont"/>
    <w:qFormat/>
    <w:rPr>
      <w:rFonts w:ascii="Arial" w:hAnsi="Arial" w:eastAsia="" w:cs="Times New Roman"/>
      <w:b/>
      <w:sz w:val="60"/>
      <w:szCs w:val="32"/>
    </w:rPr>
  </w:style>
  <w:style w:type="character" w:styleId="Heading2Char">
    <w:name w:val="Heading 2 Char"/>
    <w:basedOn w:val="DefaultParagraphFont"/>
    <w:qFormat/>
    <w:rPr>
      <w:rFonts w:ascii="Arial" w:hAnsi="Arial" w:eastAsia="" w:cs="Times New Roman"/>
      <w:b/>
      <w:color w:val="E30478"/>
      <w:sz w:val="40"/>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ing3Char">
    <w:name w:val="Heading 3 Char"/>
    <w:basedOn w:val="DefaultParagraphFont"/>
    <w:qFormat/>
    <w:rPr>
      <w:rFonts w:ascii="Arial" w:hAnsi="Arial" w:eastAsia="" w:cs="Times New Roman"/>
      <w:b/>
      <w:color w:val="E30478"/>
      <w:sz w:val="28"/>
      <w:szCs w:val="24"/>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Heading4Char">
    <w:name w:val="Heading 4 Char"/>
    <w:basedOn w:val="DefaultParagraphFont"/>
    <w:qFormat/>
    <w:rPr>
      <w:rFonts w:ascii="Arial" w:hAnsi="Arial" w:eastAsia="" w:cs="Times New Roman"/>
      <w:b/>
      <w:iCs/>
      <w:sz w:val="24"/>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annotationtext">
    <w:name w:val="annotation text"/>
    <w:basedOn w:val="Normal"/>
    <w:qFormat/>
    <w:pPr>
      <w:spacing w:lineRule="auto" w:line="240"/>
    </w:pPr>
    <w:rPr>
      <w:rFonts w:ascii="Calibri" w:hAnsi="Calibri" w:cs="Calibri"/>
      <w:sz w:val="20"/>
      <w:szCs w:val="20"/>
    </w:rPr>
  </w:style>
  <w:style w:type="paragraph" w:styleId="NormalWeb">
    <w:name w:val="Normal (Web)"/>
    <w:basedOn w:val="Normal"/>
    <w:qFormat/>
    <w:pPr>
      <w:spacing w:lineRule="auto" w:line="240" w:before="280" w:after="280"/>
    </w:pPr>
    <w:rPr>
      <w:rFonts w:ascii="Times New Roman" w:hAnsi="Times New Roman" w:eastAsia="Times New Roman" w:cs="Times New Roman"/>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png"/>
</Relationships>
</file>

<file path=word/_rels/foot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5.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