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Arial"/>
          <w:sz w:val="22"/>
          <w:szCs w:val="22"/>
        </w:rPr>
      </w:pPr>
      <w:r>
        <w:rPr>
          <w:rFonts w:cs="Arial"/>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trHeight w:val="343" w:hRule="atLeast"/>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Head of Landlord Services</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People and Place</w:t>
            </w:r>
          </w:p>
          <w:p>
            <w:pPr>
              <w:pStyle w:val="Normal"/>
              <w:rPr>
                <w:rFonts w:cs="Arial"/>
                <w:sz w:val="22"/>
                <w:szCs w:val="22"/>
              </w:rPr>
            </w:pPr>
            <w:r>
              <w:rPr>
                <w:rFonts w:cs="Arial"/>
                <w:sz w:val="22"/>
                <w:szCs w:val="22"/>
              </w:rPr>
              <w:t xml:space="preserve">Economy </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Strategic Housing</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SM2</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3753</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ListParagraph"/>
              <w:spacing w:lineRule="auto" w:line="240" w:before="0" w:after="0"/>
              <w:ind w:left="0" w:right="0"/>
              <w:contextualSpacing/>
              <w:jc w:val="both"/>
              <w:rPr>
                <w:rFonts w:ascii="Arial" w:hAnsi="Arial" w:cs="Arial"/>
              </w:rPr>
            </w:pPr>
            <w:r>
              <w:rPr>
                <w:rFonts w:cs="Arial" w:ascii="Arial" w:hAnsi="Arial"/>
              </w:rPr>
              <w:t>The role will lead the preparation for the implementation of the new regulatory requirements and consumer standards. The post will be part of the Council’s Housing Leadership Team and will ensure that the Council is able to demonstrate compliance and preparedness for future inspection arrangements in line with the changing regulatory context. It will also provide assurance of the Council’s preparedness to senior officers and councillors.</w:t>
            </w:r>
          </w:p>
          <w:p>
            <w:pPr>
              <w:pStyle w:val="ListParagraph"/>
              <w:spacing w:lineRule="auto" w:line="240" w:before="0" w:after="0"/>
              <w:ind w:left="0" w:right="0"/>
              <w:contextualSpacing/>
              <w:rPr>
                <w:rFonts w:ascii="Arial" w:hAnsi="Arial" w:eastAsia="Times New Roman" w:cs="Arial"/>
              </w:rPr>
            </w:pPr>
            <w:r>
              <w:rPr>
                <w:rFonts w:eastAsia="Times New Roman" w:cs="Arial" w:ascii="Arial" w:hAnsi="Arial"/>
              </w:rPr>
            </w:r>
          </w:p>
          <w:p>
            <w:pPr>
              <w:pStyle w:val="ListParagraph"/>
              <w:spacing w:lineRule="auto" w:line="240" w:before="0" w:after="0"/>
              <w:ind w:left="0" w:right="0"/>
              <w:contextualSpacing/>
              <w:rPr>
                <w:rFonts w:ascii="Arial" w:hAnsi="Arial" w:cs="Arial"/>
                <w:spacing w:val="-5"/>
              </w:rPr>
            </w:pPr>
            <w:r>
              <w:rPr>
                <w:rFonts w:cs="Arial" w:ascii="Arial" w:hAnsi="Arial"/>
                <w:spacing w:val="-5"/>
              </w:rPr>
              <w:t xml:space="preserve">Key purpose of the role is to lead on landlord compliance, building safety and health &amp; safety across housing services, ensuring statutory and regulatory requirements are met, strategies are developed, and a strong safety culture is embedded across the organisation. The postholder will be the "Responsible Person" and/or "Duty Holder" under relevant legislation, overseeing compliance assurance, audit, resident engagement and safety programme delivery. </w:t>
            </w:r>
          </w:p>
          <w:p>
            <w:pPr>
              <w:pStyle w:val="ListParagraph"/>
              <w:spacing w:lineRule="auto" w:line="240" w:before="0" w:after="0"/>
              <w:ind w:left="0" w:right="0"/>
              <w:contextualSpacing/>
              <w:rPr>
                <w:rFonts w:ascii="Arial" w:hAnsi="Arial" w:eastAsia="Times New Roman" w:cs="Arial"/>
              </w:rPr>
            </w:pPr>
            <w:r>
              <w:rPr>
                <w:rFonts w:eastAsia="Times New Roman" w:cs="Arial" w:ascii="Arial" w:hAnsi="Arial"/>
              </w:rPr>
            </w:r>
          </w:p>
          <w:p>
            <w:pPr>
              <w:pStyle w:val="ListParagraph"/>
              <w:spacing w:lineRule="auto" w:line="240" w:before="0" w:after="0"/>
              <w:ind w:left="0" w:right="0"/>
              <w:contextualSpacing/>
              <w:rPr>
                <w:rFonts w:ascii="Arial" w:hAnsi="Arial" w:eastAsia="Times New Roman" w:cs="Arial"/>
              </w:rPr>
            </w:pPr>
            <w:r>
              <w:rPr>
                <w:rFonts w:eastAsia="Times New Roman" w:cs="Arial" w:ascii="Arial" w:hAnsi="Arial"/>
              </w:rPr>
              <w:t>Ensure that the council is fully assured that it is compliant with the Regulator of Social Housing (RSH) Consumer Standards, with an uncompromising focus on the Safety and Quality Standard, and to remain “inspection-ready”, to ensure that we are able to demonstrate this compliance as and when needed in the future.</w:t>
            </w:r>
          </w:p>
          <w:p>
            <w:pPr>
              <w:pStyle w:val="Normal"/>
              <w:jc w:val="both"/>
              <w:rPr>
                <w:rFonts w:cs="Arial"/>
                <w:sz w:val="22"/>
                <w:szCs w:val="22"/>
                <w:lang w:eastAsia="en-GB"/>
              </w:rPr>
            </w:pPr>
            <w:r>
              <w:rPr>
                <w:rFonts w:cs="Arial"/>
                <w:sz w:val="22"/>
                <w:szCs w:val="22"/>
                <w:lang w:eastAsia="en-GB"/>
              </w:rPr>
            </w:r>
          </w:p>
          <w:p>
            <w:pPr>
              <w:pStyle w:val="Normal"/>
              <w:jc w:val="both"/>
              <w:rPr>
                <w:rFonts w:cs="Arial"/>
                <w:sz w:val="22"/>
                <w:szCs w:val="22"/>
                <w:lang w:eastAsia="en-GB"/>
              </w:rPr>
            </w:pPr>
            <w:r>
              <w:rPr>
                <w:rFonts w:cs="Arial"/>
                <w:sz w:val="22"/>
                <w:szCs w:val="22"/>
                <w:lang w:eastAsia="en-GB"/>
              </w:rPr>
              <w:t xml:space="preserve">Transform compliance from a reactive response into a proactive culture of absolute assurance by establishing a rigorous "golden thread" of data integrity. </w:t>
            </w:r>
          </w:p>
          <w:p>
            <w:pPr>
              <w:pStyle w:val="Normal"/>
              <w:jc w:val="both"/>
              <w:rPr>
                <w:rFonts w:cs="Arial"/>
                <w:sz w:val="22"/>
                <w:szCs w:val="22"/>
                <w:lang w:eastAsia="en-GB"/>
              </w:rPr>
            </w:pPr>
            <w:r>
              <w:rPr>
                <w:rFonts w:cs="Arial"/>
                <w:sz w:val="22"/>
                <w:szCs w:val="22"/>
                <w:lang w:eastAsia="en-GB"/>
              </w:rPr>
            </w:r>
          </w:p>
          <w:p>
            <w:pPr>
              <w:pStyle w:val="Normal"/>
              <w:jc w:val="both"/>
              <w:rPr>
                <w:rFonts w:cs="Arial"/>
                <w:sz w:val="22"/>
                <w:szCs w:val="22"/>
                <w:lang w:eastAsia="en-GB"/>
              </w:rPr>
            </w:pPr>
            <w:r>
              <w:rPr>
                <w:rFonts w:cs="Arial"/>
                <w:sz w:val="22"/>
                <w:szCs w:val="22"/>
                <w:lang w:eastAsia="en-GB"/>
              </w:rPr>
              <w:t>Ensure the Council can evidence their homes are irrefutably safe, well-maintained, and compliant.</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 xml:space="preserve">To provide effective strategic leadership ensuring robust governance, regulatory compliance, and effective risk management. This includes leading and motivating a multi-disciplinary team responsible for performance, data management, complaints, tenant involvement, compliance, health &amp; safety, and insight. </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 xml:space="preserve">To be the lead Officer with primary responsibility for governance and compliance, with the objective of ensuring that the service meets the highest standards of excellence in governance and probity. </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The Housing Compliance and Assurance Team will play a critical role in ensuring that the Housing Landlord function meet all the necessary legal, safety, and quality standards, thereby protecting tenants and managing risk. The team achieves this by monitoring performance, managing data, and providing evidence to senior management, Elected Members and the Regulator of Social Housing ensuring the service is meeting all its statutory and regulatory obligations</w:t>
            </w:r>
          </w:p>
          <w:p>
            <w:pPr>
              <w:pStyle w:val="Normal"/>
              <w:jc w:val="both"/>
              <w:rPr>
                <w:rFonts w:cs="Arial"/>
                <w:sz w:val="22"/>
                <w:szCs w:val="22"/>
              </w:rPr>
            </w:pPr>
            <w:r>
              <w:rPr>
                <w:rFonts w:cs="Arial"/>
                <w:sz w:val="22"/>
                <w:szCs w:val="22"/>
              </w:rPr>
            </w:r>
          </w:p>
          <w:p>
            <w:pPr>
              <w:pStyle w:val="Normal"/>
              <w:rPr>
                <w:rFonts w:cs="Arial"/>
                <w:sz w:val="22"/>
                <w:szCs w:val="22"/>
              </w:rPr>
            </w:pPr>
            <w:r>
              <w:rPr>
                <w:rFonts w:cs="Arial"/>
                <w:sz w:val="22"/>
                <w:szCs w:val="22"/>
              </w:rPr>
              <w:t>To provide strategic leadership and oversight of the contracts relating to the Council's Housing Revenue Account, ensuring that all commissioned services, partners and contractual arrangements deliver excellent services to tenants, achieve value for money and effectively manage risk.</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To lead the Council's approach to landlord service commissioning, contract management and procurement, ensuring robust governance arrangements are in place for the management of housing contracts and that contractual performance contributes to the achievement of the Consumer Standards.</w:t>
            </w:r>
          </w:p>
          <w:p>
            <w:pPr>
              <w:pStyle w:val="Normal"/>
              <w:jc w:val="both"/>
              <w:rPr>
                <w:rFonts w:cs="Arial"/>
                <w:sz w:val="22"/>
                <w:szCs w:val="22"/>
              </w:rPr>
            </w:pPr>
            <w:r>
              <w:rPr>
                <w:rFonts w:cs="Arial"/>
                <w:sz w:val="22"/>
                <w:szCs w:val="22"/>
              </w:rPr>
            </w:r>
          </w:p>
          <w:p>
            <w:pPr>
              <w:pStyle w:val="Normal"/>
              <w:ind w:left="44" w:right="0"/>
              <w:jc w:val="both"/>
              <w:rPr>
                <w:rFonts w:cs="Arial"/>
                <w:sz w:val="22"/>
                <w:szCs w:val="22"/>
              </w:rPr>
            </w:pPr>
            <w:r>
              <w:rPr>
                <w:rFonts w:cs="Arial"/>
                <w:sz w:val="22"/>
                <w:szCs w:val="22"/>
              </w:rPr>
              <w:t>To assist the Assistant Director and wider management team in the management of staff and resources within the Division.</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spacing w:val="-5"/>
                <w:sz w:val="22"/>
                <w:szCs w:val="22"/>
                <w:lang w:eastAsia="en-GB"/>
              </w:rPr>
            </w:pPr>
            <w:r>
              <w:rPr>
                <w:rFonts w:cs="Arial"/>
                <w:spacing w:val="-5"/>
                <w:sz w:val="22"/>
                <w:szCs w:val="22"/>
                <w:lang w:eastAsia="en-GB"/>
              </w:rPr>
              <w:t>Lead landlord compliance and housing contracts teams</w:t>
            </w:r>
          </w:p>
          <w:p>
            <w:pPr>
              <w:pStyle w:val="Normal"/>
              <w:rPr>
                <w:rFonts w:cs="Arial"/>
                <w:spacing w:val="-5"/>
                <w:sz w:val="22"/>
                <w:szCs w:val="22"/>
                <w:lang w:eastAsia="en-GB"/>
              </w:rPr>
            </w:pPr>
            <w:r>
              <w:rPr>
                <w:rFonts w:cs="Arial"/>
                <w:spacing w:val="-5"/>
                <w:sz w:val="22"/>
                <w:szCs w:val="22"/>
                <w:lang w:eastAsia="en-GB"/>
              </w:rPr>
            </w:r>
          </w:p>
          <w:p>
            <w:pPr>
              <w:pStyle w:val="Normal"/>
              <w:rPr>
                <w:rFonts w:cs="Arial"/>
                <w:spacing w:val="-5"/>
                <w:sz w:val="22"/>
                <w:szCs w:val="22"/>
                <w:lang w:eastAsia="en-GB"/>
              </w:rPr>
            </w:pPr>
            <w:r>
              <w:rPr>
                <w:rFonts w:cs="Arial"/>
                <w:spacing w:val="-5"/>
                <w:sz w:val="22"/>
                <w:szCs w:val="22"/>
                <w:lang w:eastAsia="en-GB"/>
              </w:rPr>
              <w:t>Act as the key point of contact with regulators on all compliance and building safety matters.</w:t>
            </w:r>
          </w:p>
          <w:p>
            <w:pPr>
              <w:pStyle w:val="Normal"/>
              <w:rPr>
                <w:rFonts w:cs="Arial"/>
                <w:spacing w:val="-5"/>
                <w:sz w:val="22"/>
                <w:szCs w:val="22"/>
                <w:lang w:eastAsia="en-GB"/>
              </w:rPr>
            </w:pPr>
            <w:r>
              <w:rPr>
                <w:rFonts w:cs="Arial"/>
                <w:spacing w:val="-5"/>
                <w:sz w:val="22"/>
                <w:szCs w:val="22"/>
                <w:lang w:eastAsia="en-GB"/>
              </w:rPr>
            </w:r>
          </w:p>
          <w:p>
            <w:pPr>
              <w:pStyle w:val="Normal"/>
              <w:rPr>
                <w:rFonts w:cs="Arial"/>
                <w:spacing w:val="-5"/>
                <w:sz w:val="22"/>
                <w:szCs w:val="22"/>
                <w:lang w:eastAsia="en-GB"/>
              </w:rPr>
            </w:pPr>
            <w:r>
              <w:rPr>
                <w:rFonts w:cs="Arial"/>
                <w:spacing w:val="-5"/>
                <w:sz w:val="22"/>
                <w:szCs w:val="22"/>
                <w:lang w:eastAsia="en-GB"/>
              </w:rPr>
              <w:t>Oversee and implement safety assurance and audit protocols, ensuring the Golden Thread of Building Safety.</w:t>
            </w:r>
          </w:p>
          <w:p>
            <w:pPr>
              <w:pStyle w:val="Normal"/>
              <w:rPr>
                <w:rFonts w:cs="Arial"/>
                <w:spacing w:val="-5"/>
                <w:sz w:val="22"/>
                <w:szCs w:val="22"/>
                <w:lang w:eastAsia="en-GB"/>
              </w:rPr>
            </w:pPr>
            <w:r>
              <w:rPr>
                <w:rFonts w:cs="Arial"/>
                <w:spacing w:val="-5"/>
                <w:sz w:val="22"/>
                <w:szCs w:val="22"/>
                <w:lang w:eastAsia="en-GB"/>
              </w:rPr>
            </w:r>
          </w:p>
          <w:p>
            <w:pPr>
              <w:pStyle w:val="Normal"/>
              <w:rPr>
                <w:rFonts w:cs="Arial"/>
                <w:spacing w:val="-5"/>
                <w:sz w:val="22"/>
                <w:szCs w:val="22"/>
                <w:lang w:eastAsia="en-GB"/>
              </w:rPr>
            </w:pPr>
            <w:r>
              <w:rPr>
                <w:rFonts w:cs="Arial"/>
                <w:spacing w:val="-5"/>
                <w:sz w:val="22"/>
                <w:szCs w:val="22"/>
                <w:lang w:eastAsia="en-GB"/>
              </w:rPr>
              <w:t>Develop and deliver compliance and health &amp; safety strategies in line with legislation, regulation and corporate objectives.</w:t>
            </w:r>
          </w:p>
          <w:p>
            <w:pPr>
              <w:pStyle w:val="Normal"/>
              <w:rPr>
                <w:rFonts w:cs="Arial"/>
                <w:spacing w:val="-5"/>
                <w:sz w:val="22"/>
                <w:szCs w:val="22"/>
                <w:lang w:eastAsia="en-GB"/>
              </w:rPr>
            </w:pPr>
            <w:r>
              <w:rPr>
                <w:rFonts w:cs="Arial"/>
                <w:spacing w:val="-5"/>
                <w:sz w:val="22"/>
                <w:szCs w:val="22"/>
                <w:lang w:eastAsia="en-GB"/>
              </w:rPr>
            </w:r>
          </w:p>
          <w:p>
            <w:pPr>
              <w:pStyle w:val="Normal"/>
              <w:rPr>
                <w:rFonts w:cs="Arial"/>
                <w:spacing w:val="-5"/>
                <w:sz w:val="22"/>
                <w:szCs w:val="22"/>
                <w:lang w:eastAsia="en-GB"/>
              </w:rPr>
            </w:pPr>
            <w:r>
              <w:rPr>
                <w:rFonts w:cs="Arial"/>
                <w:spacing w:val="-5"/>
                <w:sz w:val="22"/>
                <w:szCs w:val="22"/>
                <w:lang w:eastAsia="en-GB"/>
              </w:rPr>
              <w:t>Ensure statutory requirements are met for Fire Safety, Gas, Electrical, Water/Legionella, Asbestos, LOLER and HHSRS.</w:t>
            </w:r>
          </w:p>
          <w:p>
            <w:pPr>
              <w:pStyle w:val="Normal"/>
              <w:rPr>
                <w:rFonts w:cs="Arial"/>
                <w:spacing w:val="-5"/>
                <w:sz w:val="22"/>
                <w:szCs w:val="22"/>
                <w:lang w:eastAsia="en-GB"/>
              </w:rPr>
            </w:pPr>
            <w:r>
              <w:rPr>
                <w:rFonts w:cs="Arial"/>
                <w:spacing w:val="-5"/>
                <w:sz w:val="22"/>
                <w:szCs w:val="22"/>
                <w:lang w:eastAsia="en-GB"/>
              </w:rPr>
            </w:r>
          </w:p>
          <w:p>
            <w:pPr>
              <w:pStyle w:val="Normal"/>
              <w:rPr>
                <w:rFonts w:cs="Arial"/>
                <w:spacing w:val="-5"/>
                <w:sz w:val="22"/>
                <w:szCs w:val="22"/>
                <w:lang w:eastAsia="en-GB"/>
              </w:rPr>
            </w:pPr>
            <w:r>
              <w:rPr>
                <w:rFonts w:cs="Arial"/>
                <w:spacing w:val="-5"/>
                <w:sz w:val="22"/>
                <w:szCs w:val="22"/>
                <w:lang w:eastAsia="en-GB"/>
              </w:rPr>
              <w:t>Manage large, complex budgets, contracts and supply chains to deliver efficient, customer-focused services.</w:t>
            </w:r>
          </w:p>
          <w:p>
            <w:pPr>
              <w:pStyle w:val="Normal"/>
              <w:rPr>
                <w:rFonts w:cs="Arial"/>
                <w:spacing w:val="-5"/>
                <w:sz w:val="22"/>
                <w:szCs w:val="22"/>
                <w:lang w:eastAsia="en-GB"/>
              </w:rPr>
            </w:pPr>
            <w:r>
              <w:rPr>
                <w:rFonts w:cs="Arial"/>
                <w:spacing w:val="-5"/>
                <w:sz w:val="22"/>
                <w:szCs w:val="22"/>
                <w:lang w:eastAsia="en-GB"/>
              </w:rPr>
            </w:r>
          </w:p>
          <w:p>
            <w:pPr>
              <w:pStyle w:val="Normal"/>
              <w:rPr>
                <w:rFonts w:cs="Arial"/>
                <w:spacing w:val="-5"/>
                <w:sz w:val="22"/>
                <w:szCs w:val="22"/>
                <w:lang w:eastAsia="en-GB"/>
              </w:rPr>
            </w:pPr>
            <w:r>
              <w:rPr>
                <w:rFonts w:cs="Arial"/>
                <w:spacing w:val="-5"/>
                <w:sz w:val="22"/>
                <w:szCs w:val="22"/>
                <w:lang w:eastAsia="en-GB"/>
              </w:rPr>
              <w:t>Lead on resident engagement, ensuring feedback informs service improvement.</w:t>
            </w:r>
          </w:p>
          <w:p>
            <w:pPr>
              <w:pStyle w:val="Normal"/>
              <w:rPr>
                <w:rFonts w:cs="Arial"/>
                <w:spacing w:val="-5"/>
                <w:sz w:val="22"/>
                <w:szCs w:val="22"/>
                <w:lang w:eastAsia="en-GB"/>
              </w:rPr>
            </w:pPr>
            <w:r>
              <w:rPr>
                <w:rFonts w:cs="Arial"/>
                <w:spacing w:val="-5"/>
                <w:sz w:val="22"/>
                <w:szCs w:val="22"/>
                <w:lang w:eastAsia="en-GB"/>
              </w:rPr>
            </w:r>
          </w:p>
          <w:p>
            <w:pPr>
              <w:pStyle w:val="Normal"/>
              <w:rPr>
                <w:rFonts w:cs="Arial"/>
                <w:spacing w:val="-5"/>
                <w:sz w:val="22"/>
                <w:szCs w:val="22"/>
                <w:lang w:eastAsia="en-GB"/>
              </w:rPr>
            </w:pPr>
            <w:r>
              <w:rPr>
                <w:rFonts w:cs="Arial"/>
                <w:spacing w:val="-5"/>
                <w:sz w:val="22"/>
                <w:szCs w:val="22"/>
                <w:lang w:eastAsia="en-GB"/>
              </w:rPr>
              <w:t>Deliver safety, compliance and assurance programmes on time, to budget and required standards.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Leading on regulatory compliance with the consumer standards, supporting other teams to ensure that we are compliant with the codes and evolving our services to continue to meet the needs of the tenants.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Provide a critical friend opinion for the Housing Leadership Team to ensure that our preparations and compliance are in place.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Taking a programme management approach to track and report on progress on the implementation and compliance of the regulations.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Presenting regular updates to the Housing Leadership Team, Senior Leadership Team, Portfolio Holder, Cabinet, the Scrutiny Committee.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Keeping up to date on the latest information about the details of the standards as they are developed by the Government and ensuring that all relevant stakeholders are aware of any new information.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Oversee and ensure that the tenants voice is embedded into the services the Housing Contracts Team provide.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Lead on the management of our tenant data and use this data to inform and shape services.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Lead on the management and reporting of performance data across the service, including external reporting to the government and benchmarking organisations.</w:t>
            </w:r>
          </w:p>
          <w:p>
            <w:pPr>
              <w:pStyle w:val="Normal"/>
              <w:rPr>
                <w:rFonts w:cs="Arial"/>
                <w:sz w:val="22"/>
                <w:szCs w:val="22"/>
              </w:rPr>
            </w:pPr>
            <w:r>
              <w:rPr>
                <w:rFonts w:cs="Arial"/>
                <w:sz w:val="22"/>
                <w:szCs w:val="22"/>
              </w:rPr>
              <w:t xml:space="preserve">Manage a team that will support this role to achieve his key aims and objectives in implementing these services.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Identify opportunities for best practice and innovation, including participation in good practice and thematic focus groups</w:t>
            </w:r>
          </w:p>
          <w:p>
            <w:pPr>
              <w:pStyle w:val="z1qcye"/>
              <w:spacing w:before="0" w:after="0"/>
              <w:rPr>
                <w:rFonts w:ascii="Arial" w:hAnsi="Arial" w:cs="Arial"/>
                <w:sz w:val="22"/>
                <w:szCs w:val="22"/>
              </w:rPr>
            </w:pPr>
            <w:r>
              <w:rPr>
                <w:rFonts w:cs="Arial" w:ascii="Arial" w:hAnsi="Arial"/>
                <w:sz w:val="22"/>
                <w:szCs w:val="22"/>
              </w:rPr>
            </w:r>
          </w:p>
          <w:p>
            <w:pPr>
              <w:pStyle w:val="z1qcye"/>
              <w:spacing w:before="0" w:after="0"/>
              <w:rPr/>
            </w:pPr>
            <w:r>
              <w:rPr>
                <w:rStyle w:val="t286pc"/>
                <w:rFonts w:cs="Arial" w:ascii="Arial" w:hAnsi="Arial"/>
                <w:sz w:val="22"/>
                <w:szCs w:val="22"/>
              </w:rPr>
              <w:t>Lead annual "mock" regulatory desk reviews or independent third-party health checks across the asset safety data to expose gaps before the RSH does.</w:t>
            </w:r>
          </w:p>
          <w:p>
            <w:pPr>
              <w:pStyle w:val="Normal"/>
              <w:rPr>
                <w:rFonts w:cs="Arial"/>
                <w:sz w:val="22"/>
                <w:szCs w:val="22"/>
                <w:lang w:eastAsia="en-GB"/>
              </w:rPr>
            </w:pPr>
            <w:r>
              <w:rPr>
                <w:rFonts w:cs="Arial"/>
                <w:sz w:val="22"/>
                <w:szCs w:val="22"/>
                <w:lang w:eastAsia="en-GB"/>
              </w:rPr>
            </w:r>
          </w:p>
          <w:p>
            <w:pPr>
              <w:pStyle w:val="Normal"/>
              <w:rPr>
                <w:rFonts w:cs="Arial"/>
                <w:sz w:val="22"/>
                <w:szCs w:val="22"/>
                <w:lang w:eastAsia="en-GB"/>
              </w:rPr>
            </w:pPr>
            <w:r>
              <w:rPr>
                <w:rFonts w:cs="Arial"/>
                <w:sz w:val="22"/>
                <w:szCs w:val="22"/>
                <w:lang w:eastAsia="en-GB"/>
              </w:rPr>
              <w:t>Write clear, concise quarterly compliance position statements and "traffic light" risk dashboards for the Assistant Director, Council Executive Directors, and Elected Members to prove robust internal oversight.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Provide expert guidance on regulatory compliance, policies, and legislation, acting as a trusted source of truth for critical information.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Support the development and implementation of assurance frameworks to meet consumer standards and regulatory obligations and lead the response to building safety recommendations while promoting a strong safety culture.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Ensure robust contract management arrangements are in place across all landlord services, including performance monitoring, quality assurance, risk management and service improvement.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Lead the Council's long-term planning for the expiry, re-procurement, variation or replacement of major housing contracts, including the development of appropriate exit and transition strategies.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Ensure housing contracts are managed in a financially sustainable manner, achieving value for money and maximising benefits for tenants and the Housing Revenue Account.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Challenge underperformance and drive a culture of continuous improvement amongst contractors, partners and service providers.</w:t>
            </w:r>
            <w:bookmarkStart w:id="0" w:name="Text6"/>
            <w:bookmarkEnd w:id="0"/>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keepNext w:val="true"/>
              <w:jc w:val="both"/>
              <w:rPr>
                <w:rFonts w:cs="Arial"/>
                <w:b/>
                <w:sz w:val="22"/>
                <w:szCs w:val="22"/>
              </w:rPr>
            </w:pPr>
            <w:r>
              <w:rPr>
                <w:rFonts w:cs="Arial"/>
                <w:b/>
                <w:sz w:val="22"/>
                <w:szCs w:val="22"/>
              </w:rPr>
              <w:t>Contacts:</w:t>
            </w:r>
          </w:p>
          <w:p>
            <w:pPr>
              <w:pStyle w:val="Normal"/>
              <w:rPr>
                <w:rFonts w:cs="Arial"/>
                <w:sz w:val="22"/>
                <w:szCs w:val="22"/>
                <w:lang w:eastAsia="en-GB"/>
              </w:rPr>
            </w:pPr>
            <w:r>
              <w:rPr>
                <w:rFonts w:cs="Arial"/>
                <w:sz w:val="22"/>
                <w:szCs w:val="22"/>
                <w:lang w:eastAsia="en-GB"/>
              </w:rPr>
              <w:t xml:space="preserve">Elected Members of the Council, </w:t>
            </w:r>
          </w:p>
          <w:p>
            <w:pPr>
              <w:pStyle w:val="Normal"/>
              <w:rPr>
                <w:rFonts w:cs="Arial"/>
                <w:sz w:val="22"/>
                <w:szCs w:val="22"/>
                <w:lang w:eastAsia="en-GB"/>
              </w:rPr>
            </w:pPr>
            <w:r>
              <w:rPr>
                <w:rFonts w:cs="Arial"/>
                <w:sz w:val="22"/>
                <w:szCs w:val="22"/>
                <w:lang w:eastAsia="en-GB"/>
              </w:rPr>
              <w:t xml:space="preserve">Senior Officers / Heads of Departments, </w:t>
            </w:r>
          </w:p>
          <w:p>
            <w:pPr>
              <w:pStyle w:val="Normal"/>
              <w:rPr>
                <w:rFonts w:cs="Arial"/>
                <w:sz w:val="22"/>
                <w:szCs w:val="22"/>
                <w:lang w:eastAsia="en-GB"/>
              </w:rPr>
            </w:pPr>
            <w:r>
              <w:rPr>
                <w:rFonts w:cs="Arial"/>
                <w:sz w:val="22"/>
                <w:szCs w:val="22"/>
                <w:lang w:eastAsia="en-GB"/>
              </w:rPr>
              <w:t xml:space="preserve">Other employees of the Council, </w:t>
            </w:r>
          </w:p>
          <w:p>
            <w:pPr>
              <w:pStyle w:val="Normal"/>
              <w:rPr>
                <w:rFonts w:cs="Arial"/>
                <w:sz w:val="22"/>
                <w:szCs w:val="22"/>
                <w:lang w:eastAsia="en-GB"/>
              </w:rPr>
            </w:pPr>
            <w:r>
              <w:rPr>
                <w:rFonts w:cs="Arial"/>
                <w:sz w:val="22"/>
                <w:szCs w:val="22"/>
                <w:lang w:eastAsia="en-GB"/>
              </w:rPr>
              <w:t xml:space="preserve">Registered Providers, </w:t>
            </w:r>
          </w:p>
          <w:p>
            <w:pPr>
              <w:pStyle w:val="Normal"/>
              <w:rPr>
                <w:rFonts w:cs="Arial"/>
                <w:sz w:val="22"/>
                <w:szCs w:val="22"/>
                <w:lang w:eastAsia="en-GB"/>
              </w:rPr>
            </w:pPr>
            <w:r>
              <w:rPr>
                <w:rFonts w:cs="Arial"/>
                <w:sz w:val="22"/>
                <w:szCs w:val="22"/>
                <w:lang w:eastAsia="en-GB"/>
              </w:rPr>
              <w:t xml:space="preserve">Private landlords / agencies / investors and developers, </w:t>
            </w:r>
          </w:p>
          <w:p>
            <w:pPr>
              <w:pStyle w:val="Normal"/>
              <w:rPr>
                <w:rFonts w:cs="Arial"/>
                <w:sz w:val="22"/>
                <w:szCs w:val="22"/>
                <w:lang w:eastAsia="en-GB"/>
              </w:rPr>
            </w:pPr>
            <w:r>
              <w:rPr>
                <w:rFonts w:cs="Arial"/>
                <w:sz w:val="22"/>
                <w:szCs w:val="22"/>
                <w:lang w:eastAsia="en-GB"/>
              </w:rPr>
              <w:t xml:space="preserve">Partners within the Oldham Housing Partnership and Oldham Partnership, </w:t>
            </w:r>
          </w:p>
          <w:p>
            <w:pPr>
              <w:pStyle w:val="Normal"/>
              <w:rPr>
                <w:rFonts w:cs="Arial"/>
                <w:sz w:val="22"/>
                <w:szCs w:val="22"/>
              </w:rPr>
            </w:pPr>
            <w:r>
              <w:rPr>
                <w:rFonts w:cs="Arial"/>
                <w:sz w:val="22"/>
                <w:szCs w:val="22"/>
              </w:rPr>
              <w:t xml:space="preserve">CCG and NHS staff, representatives of various organisations, agencies, Homes England, </w:t>
            </w:r>
          </w:p>
          <w:p>
            <w:pPr>
              <w:pStyle w:val="Normal"/>
              <w:rPr>
                <w:rFonts w:cs="Arial"/>
                <w:sz w:val="22"/>
                <w:szCs w:val="22"/>
              </w:rPr>
            </w:pPr>
            <w:r>
              <w:rPr>
                <w:rFonts w:cs="Arial"/>
                <w:sz w:val="22"/>
                <w:szCs w:val="22"/>
              </w:rPr>
              <w:t xml:space="preserve">Greater Manchester Combined Authority, and other bodies with whom the Council has dealings, </w:t>
            </w:r>
          </w:p>
          <w:p>
            <w:pPr>
              <w:pStyle w:val="Normal"/>
              <w:rPr>
                <w:rFonts w:cs="Arial"/>
                <w:sz w:val="22"/>
                <w:szCs w:val="22"/>
              </w:rPr>
            </w:pPr>
            <w:r>
              <w:rPr>
                <w:rFonts w:cs="Arial"/>
                <w:sz w:val="22"/>
                <w:szCs w:val="22"/>
              </w:rPr>
              <w:t xml:space="preserve">Utility companies, </w:t>
            </w:r>
          </w:p>
          <w:p>
            <w:pPr>
              <w:pStyle w:val="Normal"/>
              <w:jc w:val="both"/>
              <w:rPr>
                <w:rFonts w:cs="Arial"/>
                <w:sz w:val="22"/>
                <w:szCs w:val="22"/>
              </w:rPr>
            </w:pPr>
            <w:r>
              <w:rPr>
                <w:rFonts w:cs="Arial"/>
                <w:sz w:val="22"/>
                <w:szCs w:val="22"/>
              </w:rPr>
              <w:t>Charitable and voluntary organisations.</w:t>
            </w:r>
          </w:p>
          <w:p>
            <w:pPr>
              <w:pStyle w:val="Normal"/>
              <w:jc w:val="both"/>
              <w:rPr>
                <w:rFonts w:cs="Arial"/>
                <w:sz w:val="22"/>
                <w:szCs w:val="22"/>
              </w:rPr>
            </w:pPr>
            <w:r>
              <w:rPr>
                <w:rFonts w:cs="Arial"/>
                <w:sz w:val="22"/>
                <w:szCs w:val="22"/>
              </w:rPr>
              <w:t>Public</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szCs w:val="22"/>
              </w:rPr>
            </w:pPr>
            <w:r>
              <w:rPr>
                <w:rFonts w:cs="Arial"/>
                <w:b w:val="false"/>
                <w:szCs w:val="22"/>
              </w:rPr>
              <w:t xml:space="preserve">Assistant Director – Housing </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 xml:space="preserve">Various staff members within the team including Housing Contracts and Quality Manager, Housing Compliance and Safety Manager </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Arial"/>
                <w:sz w:val="22"/>
                <w:szCs w:val="22"/>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17/07/2026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Victoria Wood</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Assistant Director - Housing</w:t>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Normal"/>
        <w:ind w:right="-514"/>
        <w:rPr/>
      </w:pPr>
      <w:r>
        <w:rPr>
          <w:rFonts w:cs="Arial"/>
          <w:b/>
          <w:bCs/>
          <w:sz w:val="22"/>
          <w:szCs w:val="22"/>
        </w:rPr>
        <w:t>Job Title:</w:t>
      </w:r>
      <w:r>
        <w:rPr>
          <w:rFonts w:cs="Arial"/>
          <w:bCs/>
          <w:sz w:val="22"/>
          <w:szCs w:val="22"/>
        </w:rPr>
        <w:t xml:space="preserve">  Head of Landlord Services </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Relevant degree or other professional qualification e.g. Chartered Institute of Housing sufficient to meet the Competency and Conduct Standard (level 4 or above).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Evidence of continued professional, managerial, and personal development. </w:t>
            </w:r>
          </w:p>
          <w:p>
            <w:pPr>
              <w:pStyle w:val="Header"/>
              <w:tabs>
                <w:tab w:val="clear" w:pos="4153"/>
                <w:tab w:val="clear" w:pos="8306"/>
              </w:tabs>
              <w:rPr>
                <w:rFonts w:cs="Arial"/>
                <w:szCs w:val="22"/>
              </w:rPr>
            </w:pPr>
            <w:r>
              <w:rPr>
                <w:rFonts w:cs="Arial"/>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Leadership or Management qualification.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Project Management qualification e.g. Prince 2.</w:t>
            </w:r>
          </w:p>
        </w:tc>
        <w:tc>
          <w:tcPr>
            <w:tcW w:w="162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jc w:val="center"/>
              <w:rPr>
                <w:rFonts w:cs="Arial"/>
                <w:szCs w:val="22"/>
              </w:rPr>
            </w:pPr>
            <w:r>
              <w:rPr>
                <w:rFonts w:cs="Arial"/>
                <w:szCs w:val="22"/>
              </w:rPr>
              <w:t>AF/I/C</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managing and motivating professional, technical and administrative staff.</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Experience of working in partnership with a wide range of stakeholders including engaging with vulnerable and hard to reach groups and elected members. </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 xml:space="preserve">Experience of managing a wide range of very high value long-term contracts including budget management ensuring projects are delivered on time, to a high standard achieving outcomes, and value for money.  </w:t>
            </w:r>
          </w:p>
          <w:p>
            <w:pPr>
              <w:pStyle w:val="Default"/>
              <w:rPr>
                <w:color w:val="auto"/>
                <w:sz w:val="22"/>
                <w:szCs w:val="22"/>
              </w:rPr>
            </w:pPr>
            <w:r>
              <w:rPr>
                <w:color w:val="auto"/>
                <w:sz w:val="22"/>
                <w:szCs w:val="22"/>
              </w:rPr>
            </w:r>
          </w:p>
          <w:p>
            <w:pPr>
              <w:pStyle w:val="ListParagraph"/>
              <w:spacing w:lineRule="auto" w:line="240" w:before="0" w:after="240"/>
              <w:ind w:left="0" w:right="0"/>
              <w:contextualSpacing/>
              <w:rPr>
                <w:rFonts w:ascii="Arial" w:hAnsi="Arial" w:eastAsia="Times New Roman" w:cs="Arial"/>
              </w:rPr>
            </w:pPr>
            <w:r>
              <w:rPr>
                <w:rFonts w:eastAsia="Times New Roman" w:cs="Arial" w:ascii="Arial" w:hAnsi="Arial"/>
              </w:rPr>
              <w:t xml:space="preserve">Experience of leading housing compliance, governance, assurance or regulatory functions. </w:t>
            </w:r>
          </w:p>
          <w:p>
            <w:pPr>
              <w:pStyle w:val="ListParagraph"/>
              <w:spacing w:lineRule="auto" w:line="240" w:before="0" w:after="240"/>
              <w:ind w:left="0" w:right="0"/>
              <w:contextualSpacing/>
              <w:rPr/>
            </w:pPr>
            <w:r>
              <w:rPr>
                <w:rFonts w:eastAsia="Times New Roman" w:cs="Arial" w:ascii="Arial" w:hAnsi="Arial"/>
              </w:rPr>
              <w:t>Experience of designing and implementing audit and self- assessment processes</w:t>
            </w:r>
            <w:r>
              <w:rPr>
                <w:rFonts w:cs="Arial" w:ascii="Arial" w:hAnsi="Arial"/>
              </w:rPr>
              <w:t xml:space="preserve"> </w:t>
            </w:r>
          </w:p>
          <w:p>
            <w:pPr>
              <w:pStyle w:val="ListParagraph"/>
              <w:spacing w:lineRule="auto" w:line="240" w:before="0" w:after="240"/>
              <w:ind w:left="0" w:right="0"/>
              <w:contextualSpacing/>
              <w:rPr>
                <w:rFonts w:ascii="Arial" w:hAnsi="Arial" w:cs="Arial"/>
              </w:rPr>
            </w:pPr>
            <w:r>
              <w:rPr>
                <w:rFonts w:cs="Arial" w:ascii="Arial" w:hAnsi="Arial"/>
              </w:rPr>
              <w:t>Experience of arranging, chairing and speaking at open public meetings</w:t>
            </w:r>
          </w:p>
          <w:p>
            <w:pPr>
              <w:pStyle w:val="ListParagraph"/>
              <w:spacing w:lineRule="auto" w:line="240" w:before="0" w:after="240"/>
              <w:ind w:left="0" w:right="0"/>
              <w:contextualSpacing/>
              <w:rPr>
                <w:rFonts w:ascii="Arial" w:hAnsi="Arial" w:cs="Arial"/>
              </w:rPr>
            </w:pPr>
            <w:r>
              <w:rPr>
                <w:rFonts w:cs="Arial" w:ascii="Arial" w:hAnsi="Arial"/>
              </w:rPr>
              <w:t>Comprehensive experience in performance management including creating systems to collect and present information.</w:t>
            </w:r>
          </w:p>
          <w:p>
            <w:pPr>
              <w:pStyle w:val="Normal"/>
              <w:rPr>
                <w:rFonts w:cs="Arial"/>
                <w:sz w:val="22"/>
                <w:szCs w:val="22"/>
              </w:rPr>
            </w:pPr>
            <w:r>
              <w:rPr>
                <w:rFonts w:cs="Arial"/>
                <w:sz w:val="22"/>
                <w:szCs w:val="22"/>
              </w:rPr>
              <w:t>A proven record of establishing a positive performance culture that has delivered effective performance and continuous service improvement</w:t>
            </w:r>
          </w:p>
          <w:p>
            <w:pPr>
              <w:pStyle w:val="ListParagraph"/>
              <w:spacing w:lineRule="auto" w:line="240" w:before="0" w:after="240"/>
              <w:ind w:left="0" w:right="0"/>
              <w:contextualSpacing/>
              <w:rPr>
                <w:rFonts w:ascii="Arial" w:hAnsi="Arial" w:eastAsia="Times New Roman" w:cs="Arial"/>
              </w:rPr>
            </w:pPr>
            <w:r>
              <w:rPr>
                <w:rFonts w:eastAsia="Times New Roman" w:cs="Arial" w:ascii="Arial" w:hAnsi="Arial"/>
              </w:rPr>
            </w:r>
          </w:p>
          <w:p>
            <w:pPr>
              <w:pStyle w:val="ListParagraph"/>
              <w:spacing w:lineRule="auto" w:line="240" w:before="0" w:after="240"/>
              <w:ind w:left="0" w:right="0"/>
              <w:contextualSpacing/>
              <w:rPr>
                <w:rFonts w:ascii="Arial" w:hAnsi="Arial" w:cs="Arial"/>
              </w:rPr>
            </w:pPr>
            <w:r>
              <w:rPr>
                <w:rFonts w:cs="Arial" w:ascii="Arial" w:hAnsi="Arial"/>
              </w:rPr>
              <w:t>Experience of co-designing and co-producing solutions across a range of sectors and directly with residents and partners.</w:t>
            </w:r>
          </w:p>
          <w:p>
            <w:pPr>
              <w:pStyle w:val="Normal"/>
              <w:rPr>
                <w:rFonts w:cs="Arial"/>
                <w:sz w:val="22"/>
                <w:szCs w:val="22"/>
              </w:rPr>
            </w:pPr>
            <w:r>
              <w:rPr>
                <w:rFonts w:cs="Arial"/>
                <w:sz w:val="22"/>
                <w:szCs w:val="22"/>
              </w:rPr>
              <w:t>Experience of strategic contract management and commissioning within a complex housing, local government or regulated environment.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managing high-value, high-risk contractual arrangements, including performance management, commercial negotiation and risk mitigation.</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ListParagraph"/>
              <w:spacing w:lineRule="auto" w:line="240" w:before="0" w:after="240"/>
              <w:ind w:left="0" w:right="0"/>
              <w:contextualSpacing/>
              <w:rPr>
                <w:rFonts w:ascii="Arial" w:hAnsi="Arial" w:eastAsia="Times New Roman" w:cs="Arial"/>
              </w:rPr>
            </w:pPr>
            <w:r>
              <w:rPr>
                <w:rFonts w:eastAsia="Times New Roman" w:cs="Arial" w:ascii="Arial" w:hAnsi="Arial"/>
              </w:rPr>
              <w:t>Experience of RSH Inspections</w:t>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Ability to effectively manage, develop, instruct and motivate staff.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Highly developed persuading and influencing skills to bring about behavioural change and achieve desired results/outcomes as necessary</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High-level problem-solving skills with the ability to analyse, create and think through issues and problems through the use of theoretical, conceptual and technical knowledge to find practical solutions</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Well-developed project and programme management skills, including the ability to prioritise, manage budgets and resources including developing project plans, risk registers, and technical service specifications.</w:t>
            </w:r>
          </w:p>
          <w:p>
            <w:pPr>
              <w:pStyle w:val="Normal"/>
              <w:rPr>
                <w:rFonts w:cs="Arial"/>
                <w:sz w:val="22"/>
                <w:szCs w:val="22"/>
              </w:rPr>
            </w:pPr>
            <w:r>
              <w:rPr>
                <w:rFonts w:cs="Arial"/>
                <w:sz w:val="22"/>
                <w:szCs w:val="22"/>
              </w:rPr>
            </w:r>
          </w:p>
          <w:p>
            <w:pPr>
              <w:pStyle w:val="Default"/>
              <w:rPr>
                <w:rFonts w:cs="Arial"/>
                <w:color w:val="auto"/>
                <w:sz w:val="22"/>
                <w:szCs w:val="22"/>
              </w:rPr>
            </w:pPr>
            <w:r>
              <w:rPr>
                <w:rFonts w:cs="Arial"/>
                <w:color w:val="auto"/>
                <w:sz w:val="22"/>
                <w:szCs w:val="22"/>
              </w:rPr>
            </w:r>
          </w:p>
          <w:p>
            <w:pPr>
              <w:pStyle w:val="Normal"/>
              <w:rPr>
                <w:rFonts w:cs="Arial"/>
                <w:sz w:val="22"/>
                <w:szCs w:val="22"/>
              </w:rPr>
            </w:pPr>
            <w:r>
              <w:rPr>
                <w:rFonts w:cs="Arial"/>
                <w:sz w:val="22"/>
                <w:szCs w:val="22"/>
              </w:rPr>
              <w:t>Ability to manage high value long-term contracts of a diverse nature.</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 xml:space="preserve">Ability to manage competing demands and organise the work of yourself and others. </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Ability to provide strategic leadership and challenge in relation to contract performance and service delivery outcomes.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analyse complex contractual, financial and performance information and translate this into clear recommendations for senior decision-makers.</w:t>
            </w:r>
          </w:p>
          <w:p>
            <w:pPr>
              <w:pStyle w:val="Default"/>
              <w:rPr>
                <w:color w:val="auto"/>
                <w:sz w:val="22"/>
                <w:szCs w:val="22"/>
              </w:rPr>
            </w:pPr>
            <w:r>
              <w:rPr>
                <w:color w:val="auto"/>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use IMS for the purpose of submitting funding bids to Homes England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pacing w:val="-5"/>
                <w:sz w:val="22"/>
                <w:szCs w:val="22"/>
                <w:lang w:eastAsia="en-GB"/>
              </w:rPr>
            </w:pPr>
            <w:r>
              <w:rPr>
                <w:rFonts w:cs="Arial"/>
                <w:spacing w:val="-5"/>
                <w:sz w:val="22"/>
                <w:szCs w:val="22"/>
                <w:lang w:eastAsia="en-GB"/>
              </w:rPr>
              <w:t>Strong working knowledge of landlord compliance and health &amp; safety regulations in social housing.</w:t>
            </w:r>
          </w:p>
          <w:p>
            <w:pPr>
              <w:pStyle w:val="Normal"/>
              <w:rPr>
                <w:rFonts w:cs="Arial"/>
                <w:spacing w:val="-5"/>
                <w:sz w:val="22"/>
                <w:szCs w:val="22"/>
                <w:lang w:eastAsia="en-GB"/>
              </w:rPr>
            </w:pPr>
            <w:r>
              <w:rPr>
                <w:rFonts w:cs="Arial"/>
                <w:spacing w:val="-5"/>
                <w:sz w:val="22"/>
                <w:szCs w:val="22"/>
                <w:lang w:eastAsia="en-GB"/>
              </w:rPr>
            </w:r>
          </w:p>
          <w:p>
            <w:pPr>
              <w:pStyle w:val="Normal"/>
              <w:rPr>
                <w:rFonts w:cs="Arial"/>
                <w:spacing w:val="-5"/>
                <w:sz w:val="22"/>
                <w:szCs w:val="22"/>
                <w:lang w:eastAsia="en-GB"/>
              </w:rPr>
            </w:pPr>
            <w:r>
              <w:rPr>
                <w:rFonts w:cs="Arial"/>
                <w:spacing w:val="-5"/>
                <w:sz w:val="22"/>
                <w:szCs w:val="22"/>
                <w:lang w:eastAsia="en-GB"/>
              </w:rPr>
              <w:t>Detailed understanding of the Building Safety Act, CDM Regulations and statutory standards (fire, water, gas, asbestos, electrical, LOLER).</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 xml:space="preserve">Knowledge of key housing, planning and development issues at national and local levels. </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Detailed knowledge and understanding of the legislative requirements surrounding building and fire safety to ensure compliance for of the Council’s HRA stock.</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Detailed knowledge and understanding of PFI housing funding and contractual related issues.</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Knowledge and understanding of the principles of performance management and quality standards including Best Value and Best Consideration. </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 xml:space="preserve">Knowledge and understanding of procurement (PCR processes, financial regulations and contract standing orders) with regard to planning, tendering, evaluating and selecting.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and understanding of Affordable Warmth, Fuel Poverty, Housing and Health, and Housing Retrofit issues, opportunities, policies, programmes, and legislative developments</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 xml:space="preserve">Knowledge of the methods for public consultation and participation.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and thorough understanding of the requirements of the Regulatory Consumer Standards</w:t>
            </w:r>
          </w:p>
          <w:p>
            <w:pPr>
              <w:pStyle w:val="Normal"/>
              <w:rPr>
                <w:rFonts w:cs="Arial"/>
                <w:sz w:val="22"/>
                <w:szCs w:val="22"/>
              </w:rPr>
            </w:pPr>
            <w:r>
              <w:rPr>
                <w:rFonts w:cs="Arial"/>
                <w:sz w:val="22"/>
                <w:szCs w:val="22"/>
              </w:rPr>
            </w:r>
          </w:p>
          <w:p>
            <w:pPr>
              <w:pStyle w:val="Normal"/>
              <w:rPr>
                <w:rFonts w:cs="Arial"/>
                <w:sz w:val="22"/>
                <w:szCs w:val="22"/>
                <w:lang w:val="en-US"/>
              </w:rPr>
            </w:pPr>
            <w:r>
              <w:rPr>
                <w:rFonts w:cs="Arial"/>
                <w:sz w:val="22"/>
                <w:szCs w:val="22"/>
                <w:lang w:val="en-US"/>
              </w:rPr>
              <w:t xml:space="preserve">Knowledge of data sharing and GDPR in the context of integrated working. </w:t>
            </w:r>
          </w:p>
          <w:p>
            <w:pPr>
              <w:pStyle w:val="Normal"/>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t>Strong understanding of performance management frameworks, contract governance and supplier relationship management.</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The post holder will be required to have access to a vehicle to travel to and between sites to undertake inspections and to attend meetings.</w:t>
            </w:r>
          </w:p>
          <w:p>
            <w:pPr>
              <w:pStyle w:val="Normal"/>
              <w:rPr>
                <w:rFonts w:cs="Arial"/>
                <w:b/>
                <w:bCs/>
                <w:iCs/>
                <w:sz w:val="22"/>
                <w:szCs w:val="22"/>
              </w:rPr>
            </w:pPr>
            <w:r>
              <w:rPr>
                <w:rFonts w:cs="Arial"/>
                <w:b/>
                <w:bCs/>
                <w:iCs/>
                <w:sz w:val="22"/>
                <w:szCs w:val="22"/>
              </w:rPr>
            </w:r>
          </w:p>
          <w:p>
            <w:pPr>
              <w:pStyle w:val="Normal"/>
              <w:rPr>
                <w:rFonts w:cs="Arial"/>
                <w:sz w:val="22"/>
                <w:szCs w:val="22"/>
              </w:rPr>
            </w:pPr>
            <w:r>
              <w:rPr>
                <w:rFonts w:cs="Arial"/>
                <w:sz w:val="22"/>
                <w:szCs w:val="22"/>
              </w:rPr>
              <w:t>The post holder may be required to attend evening or weekend meetings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1" w:name="_Hlk190765446"/>
      <w:bookmarkEnd w:id="1"/>
    </w:p>
    <w:p>
      <w:pPr>
        <w:pStyle w:val="Normal"/>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t286pc">
    <w:name w:val="t286pc"/>
    <w:basedOn w:val="DefaultParagraphFont"/>
    <w:qFormat/>
    <w:rPr/>
  </w:style>
  <w:style w:type="character" w:styleId="Strong">
    <w:name w:val="Strong"/>
    <w:qFormat/>
    <w:rPr>
      <w:b/>
      <w:bCs/>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z1qcye">
    <w:name w:val="z1qcye"/>
    <w:basedOn w:val="Normal"/>
    <w:qFormat/>
    <w:pPr>
      <w:spacing w:before="280" w:after="280"/>
    </w:pPr>
    <w:rPr>
      <w:rFonts w:ascii="Times New Roman" w:hAnsi="Times New Roman" w:cs="Times New Roman"/>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